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DA" w:rsidRPr="00A50FAB" w:rsidRDefault="00064FDA" w:rsidP="003B4271">
      <w:pPr>
        <w:rPr>
          <w:b/>
          <w:sz w:val="28"/>
          <w:szCs w:val="28"/>
          <w:lang w:val="ru-RU"/>
        </w:rPr>
      </w:pPr>
      <w:r w:rsidRPr="00A50FAB">
        <w:rPr>
          <w:b/>
          <w:sz w:val="28"/>
          <w:szCs w:val="28"/>
        </w:rPr>
        <w:t>Cedefop</w:t>
      </w:r>
    </w:p>
    <w:p w:rsidR="00064FDA" w:rsidRPr="00A50FAB" w:rsidRDefault="00064FDA" w:rsidP="003B4271">
      <w:pPr>
        <w:rPr>
          <w:b/>
          <w:lang w:val="ru-RU"/>
        </w:rPr>
      </w:pPr>
      <w:r>
        <w:rPr>
          <w:b/>
          <w:lang w:val="bg-BG"/>
        </w:rPr>
        <w:t xml:space="preserve">Кратка информация </w:t>
      </w:r>
      <w:r w:rsidRPr="00A50FAB">
        <w:rPr>
          <w:b/>
          <w:lang w:val="ru-RU"/>
        </w:rPr>
        <w:t xml:space="preserve">– </w:t>
      </w:r>
      <w:r>
        <w:rPr>
          <w:b/>
          <w:lang w:val="bg-BG"/>
        </w:rPr>
        <w:t>Септември</w:t>
      </w:r>
      <w:r w:rsidRPr="00A50FAB">
        <w:rPr>
          <w:b/>
          <w:lang w:val="ru-RU"/>
        </w:rPr>
        <w:t xml:space="preserve"> 2017 </w:t>
      </w:r>
    </w:p>
    <w:p w:rsidR="00064FDA" w:rsidRPr="00D225D8" w:rsidRDefault="00064FDA" w:rsidP="003B4271">
      <w:pPr>
        <w:rPr>
          <w:b/>
          <w:sz w:val="16"/>
          <w:szCs w:val="16"/>
          <w:lang w:val="bg-BG"/>
        </w:rPr>
      </w:pPr>
    </w:p>
    <w:p w:rsidR="00064FDA" w:rsidRPr="00562021" w:rsidRDefault="00064FDA" w:rsidP="003B4271">
      <w:pPr>
        <w:rPr>
          <w:b/>
          <w:sz w:val="32"/>
          <w:szCs w:val="32"/>
          <w:lang w:val="bg-BG"/>
        </w:rPr>
      </w:pPr>
      <w:r>
        <w:rPr>
          <w:b/>
          <w:sz w:val="32"/>
          <w:szCs w:val="32"/>
          <w:lang w:val="bg-BG"/>
        </w:rPr>
        <w:t>Поглеждайки назад,</w:t>
      </w:r>
      <w:r w:rsidRPr="00562021">
        <w:rPr>
          <w:b/>
          <w:sz w:val="32"/>
          <w:szCs w:val="32"/>
          <w:lang w:val="bg-BG"/>
        </w:rPr>
        <w:t xml:space="preserve"> </w:t>
      </w:r>
      <w:r>
        <w:rPr>
          <w:b/>
          <w:sz w:val="32"/>
          <w:szCs w:val="32"/>
          <w:lang w:val="bg-BG"/>
        </w:rPr>
        <w:t xml:space="preserve">да </w:t>
      </w:r>
      <w:r w:rsidRPr="00562021">
        <w:rPr>
          <w:b/>
          <w:sz w:val="32"/>
          <w:szCs w:val="32"/>
          <w:lang w:val="bg-BG"/>
        </w:rPr>
        <w:t>гледаме напред</w:t>
      </w:r>
    </w:p>
    <w:p w:rsidR="00064FDA" w:rsidRPr="00D225D8" w:rsidRDefault="00064FDA" w:rsidP="00562021">
      <w:pPr>
        <w:spacing w:line="360" w:lineRule="auto"/>
        <w:jc w:val="both"/>
        <w:rPr>
          <w:b/>
          <w:sz w:val="24"/>
          <w:szCs w:val="24"/>
          <w:lang w:val="bg-BG"/>
        </w:rPr>
      </w:pPr>
      <w:r w:rsidRPr="00BB396E">
        <w:rPr>
          <w:b/>
          <w:sz w:val="24"/>
          <w:szCs w:val="24"/>
          <w:lang w:val="bg-BG"/>
        </w:rPr>
        <w:t>Подготвяйки бъдещето на професионалното образование и обучение в Европа 2020-30</w:t>
      </w:r>
    </w:p>
    <w:p w:rsidR="00064FDA" w:rsidRPr="00562021" w:rsidRDefault="00064FDA" w:rsidP="00562021">
      <w:pPr>
        <w:spacing w:line="360" w:lineRule="auto"/>
        <w:jc w:val="both"/>
        <w:rPr>
          <w:lang w:val="bg-BG"/>
        </w:rPr>
      </w:pPr>
      <w:r w:rsidRPr="00562021">
        <w:rPr>
          <w:lang w:val="bg-BG"/>
        </w:rPr>
        <w:t>Общественият дебат за бъдещето на работата и образованието и обучението бушува в Европа. Предизвикателствата, разгарящи дискусии са глобализацията, дигитализацията, миграцията, демографските промени и зелената икономика. Безработица, непълна заетост, несъответствия между уменията на хората и съществуващите работни места, нивото или намаляването на приходите минират кохезията и социалния модел на европейските общества.</w:t>
      </w:r>
    </w:p>
    <w:p w:rsidR="00064FDA" w:rsidRPr="00562021" w:rsidRDefault="00064FDA" w:rsidP="00562021">
      <w:pPr>
        <w:spacing w:line="360" w:lineRule="auto"/>
        <w:jc w:val="both"/>
        <w:rPr>
          <w:lang w:val="bg-BG"/>
        </w:rPr>
      </w:pPr>
      <w:r w:rsidRPr="00562021">
        <w:rPr>
          <w:lang w:val="bg-BG"/>
        </w:rPr>
        <w:t xml:space="preserve">В този контекст страните членки на ЕС работят за професионалното образование и обучение </w:t>
      </w:r>
      <w:r w:rsidRPr="00562021">
        <w:rPr>
          <w:lang w:val="ru-RU"/>
        </w:rPr>
        <w:t>(</w:t>
      </w:r>
      <w:r>
        <w:rPr>
          <w:lang w:val="bg-BG"/>
        </w:rPr>
        <w:t>ПОО</w:t>
      </w:r>
      <w:r w:rsidRPr="00562021">
        <w:rPr>
          <w:lang w:val="ru-RU"/>
        </w:rPr>
        <w:t xml:space="preserve">) </w:t>
      </w:r>
      <w:r w:rsidRPr="00562021">
        <w:rPr>
          <w:lang w:val="bg-BG"/>
        </w:rPr>
        <w:t>в по-тясно сътрудничество от когато и да било преди</w:t>
      </w:r>
      <w:r w:rsidRPr="00562021">
        <w:rPr>
          <w:lang w:val="ru-RU"/>
        </w:rPr>
        <w:t xml:space="preserve">. През юни 2016 г. Европейската комисия публикува </w:t>
      </w:r>
      <w:r w:rsidRPr="00562021">
        <w:rPr>
          <w:i/>
          <w:lang w:val="ru-RU"/>
        </w:rPr>
        <w:t xml:space="preserve">Нова програма за уменията </w:t>
      </w:r>
      <w:r w:rsidRPr="00562021">
        <w:rPr>
          <w:i/>
          <w:lang w:val="bg-BG"/>
        </w:rPr>
        <w:t>в Европа</w:t>
      </w:r>
      <w:r w:rsidRPr="00562021">
        <w:rPr>
          <w:lang w:val="bg-BG"/>
        </w:rPr>
        <w:t xml:space="preserve">, която формулира списък с незабавни действия, които да дадат възможност Европа да подобри качеството и съответствието при формиране на умения, за </w:t>
      </w:r>
      <w:r>
        <w:rPr>
          <w:lang w:val="bg-BG"/>
        </w:rPr>
        <w:t>постигане на по-прозрачни и сравними умения</w:t>
      </w:r>
      <w:r w:rsidRPr="00562021">
        <w:rPr>
          <w:lang w:val="bg-BG"/>
        </w:rPr>
        <w:t xml:space="preserve"> и квалификации и напредък към интелегентни умения, документиране и информиран избор на кариера.</w:t>
      </w:r>
    </w:p>
    <w:p w:rsidR="00064FDA" w:rsidRPr="00D225D8" w:rsidRDefault="00064FDA" w:rsidP="00D225D8">
      <w:pPr>
        <w:spacing w:line="360" w:lineRule="auto"/>
        <w:jc w:val="both"/>
        <w:rPr>
          <w:lang w:val="bg-BG"/>
        </w:rPr>
      </w:pPr>
      <w:r w:rsidRPr="00562021">
        <w:rPr>
          <w:lang w:val="bg-BG"/>
        </w:rPr>
        <w:t xml:space="preserve">Тъй като настоящата рамка за сътрудничество в ПОО достига своя хоризонт </w:t>
      </w:r>
      <w:r>
        <w:rPr>
          <w:lang w:val="bg-BG"/>
        </w:rPr>
        <w:t xml:space="preserve">през </w:t>
      </w:r>
      <w:r w:rsidRPr="00562021">
        <w:rPr>
          <w:lang w:val="bg-BG"/>
        </w:rPr>
        <w:t>2020</w:t>
      </w:r>
      <w:r>
        <w:rPr>
          <w:lang w:val="bg-BG"/>
        </w:rPr>
        <w:t xml:space="preserve"> г.</w:t>
      </w:r>
      <w:r w:rsidRPr="00562021">
        <w:rPr>
          <w:lang w:val="bg-BG"/>
        </w:rPr>
        <w:t xml:space="preserve">, </w:t>
      </w:r>
      <w:r w:rsidRPr="00562021">
        <w:t>Cedefop</w:t>
      </w:r>
      <w:r>
        <w:rPr>
          <w:lang w:val="bg-BG"/>
        </w:rPr>
        <w:t xml:space="preserve"> гледа напред към насърчаване</w:t>
      </w:r>
      <w:r w:rsidRPr="00562021">
        <w:rPr>
          <w:lang w:val="bg-BG"/>
        </w:rPr>
        <w:t xml:space="preserve"> на дебата за Европейското сътрудничество в ПОО до 2030</w:t>
      </w:r>
      <w:r>
        <w:rPr>
          <w:lang w:val="bg-BG"/>
        </w:rPr>
        <w:t xml:space="preserve"> г</w:t>
      </w:r>
      <w:r w:rsidRPr="00562021">
        <w:rPr>
          <w:lang w:val="bg-BG"/>
        </w:rPr>
        <w:t>. Първата крачка е да се направи преглед на настоящите характеристики на европейските сис</w:t>
      </w:r>
      <w:r>
        <w:rPr>
          <w:lang w:val="bg-BG"/>
        </w:rPr>
        <w:t>теми за ПОО с цел</w:t>
      </w:r>
      <w:r w:rsidRPr="00562021">
        <w:rPr>
          <w:lang w:val="bg-BG"/>
        </w:rPr>
        <w:t xml:space="preserve"> идентифиц</w:t>
      </w:r>
      <w:r>
        <w:rPr>
          <w:lang w:val="bg-BG"/>
        </w:rPr>
        <w:t>иране на приликите</w:t>
      </w:r>
      <w:r w:rsidRPr="00562021">
        <w:rPr>
          <w:lang w:val="bg-BG"/>
        </w:rPr>
        <w:t xml:space="preserve"> и разликите.</w:t>
      </w:r>
    </w:p>
    <w:p w:rsidR="00064FDA" w:rsidRPr="00562021" w:rsidRDefault="00064FDA" w:rsidP="00114599">
      <w:pPr>
        <w:spacing w:line="426" w:lineRule="atLeast"/>
        <w:jc w:val="both"/>
        <w:rPr>
          <w:b/>
          <w:color w:val="0000FF"/>
          <w:sz w:val="32"/>
          <w:szCs w:val="32"/>
          <w:lang w:val="bg-BG"/>
        </w:rPr>
      </w:pPr>
      <w:r w:rsidRPr="00562021">
        <w:rPr>
          <w:b/>
          <w:color w:val="0000FF"/>
          <w:sz w:val="32"/>
          <w:szCs w:val="32"/>
          <w:lang w:val="bg-BG"/>
        </w:rPr>
        <w:t>ПОО в Европа: един термин, множество интерпретации</w:t>
      </w:r>
    </w:p>
    <w:p w:rsidR="00064FDA" w:rsidRPr="007413BB" w:rsidRDefault="00064FDA" w:rsidP="00562021">
      <w:pPr>
        <w:spacing w:line="360" w:lineRule="auto"/>
        <w:jc w:val="both"/>
        <w:rPr>
          <w:lang w:val="bg-BG"/>
        </w:rPr>
      </w:pPr>
      <w:r w:rsidRPr="007413BB">
        <w:rPr>
          <w:lang w:val="bg-BG"/>
        </w:rPr>
        <w:t>Националните системи за ПОО значително се различават една от друга в рамките на Европа. Въпреки че всяка страна има свой собствен подход към осигуряване, съдържание и управление на ПОО, обща основа съществува. ПОО се възприема като образование и обучение</w:t>
      </w:r>
      <w:r>
        <w:rPr>
          <w:lang w:val="bg-BG"/>
        </w:rPr>
        <w:t>, което е специфично за професия</w:t>
      </w:r>
      <w:r w:rsidRPr="007413BB">
        <w:rPr>
          <w:lang w:val="bg-BG"/>
        </w:rPr>
        <w:t xml:space="preserve">. То е насочено към </w:t>
      </w:r>
      <w:r w:rsidRPr="007413BB">
        <w:rPr>
          <w:rFonts w:cs="Arial"/>
          <w:shd w:val="clear" w:color="auto" w:fill="FFFFFF"/>
          <w:lang w:val="ru-RU"/>
        </w:rPr>
        <w:t>увеличаване на предлагането на квалифицирана работна ръка</w:t>
      </w:r>
      <w:r w:rsidRPr="007413BB">
        <w:rPr>
          <w:lang w:val="bg-BG"/>
        </w:rPr>
        <w:t xml:space="preserve"> и обикновено се смята за образование на по-ниски нива</w:t>
      </w:r>
      <w:r>
        <w:rPr>
          <w:lang w:val="bg-BG"/>
        </w:rPr>
        <w:t>,</w:t>
      </w:r>
      <w:r w:rsidRPr="007413BB">
        <w:rPr>
          <w:lang w:val="bg-BG"/>
        </w:rPr>
        <w:t xml:space="preserve"> в сравнение с общото или академичното образование. В повечето страни то преобладаващо е насочено към младите хора, като им осигурява придобиване на квалификации на средно ниво (EQF нива 3 и 4). При отразяването на комбинацията от разнообразие и сближаване, в настоящия момент могат да бъдат разграничени четири основни модела на европейските системи за ПОО.</w:t>
      </w:r>
    </w:p>
    <w:p w:rsidR="00064FDA" w:rsidRPr="007413BB" w:rsidRDefault="00064FDA" w:rsidP="00114599">
      <w:pPr>
        <w:spacing w:line="426" w:lineRule="atLeast"/>
        <w:jc w:val="both"/>
        <w:rPr>
          <w:b/>
          <w:color w:val="FF0000"/>
          <w:sz w:val="24"/>
          <w:szCs w:val="24"/>
          <w:lang w:val="bg-BG"/>
        </w:rPr>
      </w:pPr>
      <w:r w:rsidRPr="007413BB">
        <w:rPr>
          <w:b/>
          <w:color w:val="FF0000"/>
          <w:sz w:val="24"/>
          <w:szCs w:val="24"/>
          <w:lang w:val="bg-BG"/>
        </w:rPr>
        <w:t>ПОО като обучение чрез работа/дуално начално обучение</w:t>
      </w:r>
    </w:p>
    <w:p w:rsidR="00064FDA" w:rsidRPr="00D225D8" w:rsidRDefault="00064FDA" w:rsidP="007413BB">
      <w:pPr>
        <w:pStyle w:val="NormalWeb"/>
        <w:spacing w:before="0" w:beforeAutospacing="0" w:after="163" w:afterAutospacing="0" w:line="360" w:lineRule="auto"/>
        <w:jc w:val="both"/>
        <w:rPr>
          <w:rFonts w:ascii="Calibri" w:hAnsi="Calibri"/>
          <w:sz w:val="22"/>
          <w:szCs w:val="22"/>
          <w:lang w:val="bg-BG"/>
        </w:rPr>
      </w:pPr>
      <w:r w:rsidRPr="007413BB">
        <w:rPr>
          <w:rFonts w:ascii="Calibri" w:hAnsi="Calibri"/>
          <w:sz w:val="22"/>
          <w:szCs w:val="22"/>
          <w:lang w:val="bg-BG"/>
        </w:rPr>
        <w:t>То</w:t>
      </w:r>
      <w:r>
        <w:rPr>
          <w:rFonts w:ascii="Calibri" w:hAnsi="Calibri"/>
          <w:sz w:val="22"/>
          <w:szCs w:val="22"/>
          <w:lang w:val="bg-BG"/>
        </w:rPr>
        <w:t>зи подход, обикновено представляван</w:t>
      </w:r>
      <w:r w:rsidRPr="007413BB">
        <w:rPr>
          <w:rFonts w:ascii="Calibri" w:hAnsi="Calibri"/>
          <w:sz w:val="22"/>
          <w:szCs w:val="22"/>
          <w:lang w:val="bg-BG"/>
        </w:rPr>
        <w:t xml:space="preserve"> от немската дуална система, се базира на практически знания и „учене чрез правене“ за млади хора (чираци), които да станат членове на определена професия с отделна професионална етика и професионални права. Важна част от този подход са значителната подкрепа от страна на фирмите (финансова и като място за учене) и силната координация между работодателите (и профсъюзите). ПОО е ясно асоциирано като образование на средно ниво (ISCED-11 нива 3-4), с ограничаване или без ограничаване на достъпа до висше образование. Гледната точка на работодателите е доминираща, тъй като главната цел на ПОО е </w:t>
      </w:r>
      <w:r>
        <w:rPr>
          <w:rFonts w:ascii="Calibri" w:hAnsi="Calibri"/>
          <w:sz w:val="22"/>
          <w:szCs w:val="22"/>
          <w:lang w:val="bg-BG"/>
        </w:rPr>
        <w:t xml:space="preserve">осигуряване </w:t>
      </w:r>
      <w:r w:rsidRPr="007413BB">
        <w:rPr>
          <w:rFonts w:ascii="Calibri" w:hAnsi="Calibri"/>
          <w:sz w:val="22"/>
          <w:szCs w:val="22"/>
          <w:lang w:val="bg-BG"/>
        </w:rPr>
        <w:t>предлагането на квалифицирана работна ръка и поощряване на иновациите и растежа на бизнеса.</w:t>
      </w:r>
    </w:p>
    <w:p w:rsidR="00064FDA" w:rsidRPr="007413BB" w:rsidRDefault="00064FDA" w:rsidP="007413BB">
      <w:pPr>
        <w:pStyle w:val="NormalWeb"/>
        <w:spacing w:before="0" w:beforeAutospacing="0" w:after="163" w:afterAutospacing="0" w:line="360" w:lineRule="auto"/>
        <w:jc w:val="both"/>
        <w:rPr>
          <w:rFonts w:ascii="Calibri" w:hAnsi="Calibri"/>
          <w:b/>
          <w:bCs/>
          <w:color w:val="FF0000"/>
          <w:lang w:val="bg-BG"/>
        </w:rPr>
      </w:pPr>
      <w:r w:rsidRPr="007413BB">
        <w:rPr>
          <w:rFonts w:ascii="Calibri" w:hAnsi="Calibri"/>
          <w:b/>
          <w:bCs/>
          <w:color w:val="FF0000"/>
          <w:lang w:val="bg-BG"/>
        </w:rPr>
        <w:t>ПОО като начално професионално образование</w:t>
      </w:r>
    </w:p>
    <w:p w:rsidR="00064FDA" w:rsidRPr="00D225D8" w:rsidRDefault="00064FDA" w:rsidP="00D225D8">
      <w:pPr>
        <w:pStyle w:val="NormalWeb"/>
        <w:spacing w:before="0" w:beforeAutospacing="0" w:after="163" w:afterAutospacing="0" w:line="360" w:lineRule="auto"/>
        <w:jc w:val="both"/>
        <w:rPr>
          <w:rFonts w:ascii="Calibri" w:hAnsi="Calibri"/>
          <w:sz w:val="22"/>
          <w:szCs w:val="22"/>
          <w:lang w:val="bg-BG"/>
        </w:rPr>
      </w:pPr>
      <w:r w:rsidRPr="00D225D8">
        <w:rPr>
          <w:rFonts w:ascii="Calibri" w:hAnsi="Calibri"/>
          <w:sz w:val="22"/>
          <w:szCs w:val="22"/>
          <w:lang w:val="bg-BG"/>
        </w:rPr>
        <w:t xml:space="preserve">В този смисъл ПОО се разбира като неразделна част от началното образование, при което училища, финансирани и управлявани от държавата, са основното място за учене на обучаваните със статут на ученици. Швеция е пример за този подход, при който ПОО основно се провежда в класни стаи </w:t>
      </w:r>
      <w:r w:rsidRPr="00D225D8">
        <w:rPr>
          <w:rFonts w:ascii="Calibri" w:hAnsi="Calibri"/>
          <w:sz w:val="22"/>
          <w:szCs w:val="22"/>
          <w:lang w:val="ru-RU"/>
        </w:rPr>
        <w:t xml:space="preserve">(въпреки че има елементи на </w:t>
      </w:r>
      <w:r w:rsidRPr="00D225D8">
        <w:rPr>
          <w:rFonts w:ascii="Calibri" w:hAnsi="Calibri"/>
          <w:sz w:val="22"/>
          <w:szCs w:val="22"/>
          <w:lang w:val="bg-BG"/>
        </w:rPr>
        <w:t>учене чрез работа</w:t>
      </w:r>
      <w:r w:rsidRPr="00D225D8">
        <w:rPr>
          <w:rFonts w:ascii="Calibri" w:hAnsi="Calibri"/>
          <w:sz w:val="22"/>
          <w:szCs w:val="22"/>
          <w:lang w:val="ru-RU"/>
        </w:rPr>
        <w:t>),</w:t>
      </w:r>
      <w:r w:rsidRPr="00D225D8">
        <w:rPr>
          <w:rFonts w:ascii="Calibri" w:hAnsi="Calibri"/>
          <w:sz w:val="22"/>
          <w:szCs w:val="22"/>
          <w:lang w:val="bg-BG"/>
        </w:rPr>
        <w:t xml:space="preserve"> като в центъра е връзката „учител-ученик“. То не е непременно специфично професионално, като може да включва по-широк кръг професионални области. Провежда се на средно и по-високо ниво </w:t>
      </w:r>
      <w:r w:rsidRPr="00D225D8">
        <w:rPr>
          <w:rFonts w:ascii="Calibri" w:hAnsi="Calibri"/>
          <w:sz w:val="22"/>
          <w:szCs w:val="22"/>
          <w:lang w:val="ru-RU"/>
        </w:rPr>
        <w:t>(</w:t>
      </w:r>
      <w:r w:rsidRPr="00D225D8">
        <w:rPr>
          <w:rFonts w:ascii="Calibri" w:hAnsi="Calibri"/>
          <w:sz w:val="22"/>
          <w:szCs w:val="22"/>
        </w:rPr>
        <w:t>ISCED</w:t>
      </w:r>
      <w:r w:rsidRPr="00D225D8">
        <w:rPr>
          <w:rFonts w:ascii="Calibri" w:hAnsi="Calibri"/>
          <w:sz w:val="22"/>
          <w:szCs w:val="22"/>
          <w:lang w:val="ru-RU"/>
        </w:rPr>
        <w:t>-11 нива 3-5) и осигурява достъп до висше образование</w:t>
      </w:r>
      <w:r w:rsidRPr="00D225D8">
        <w:rPr>
          <w:rFonts w:ascii="Calibri" w:hAnsi="Calibri"/>
          <w:sz w:val="22"/>
          <w:szCs w:val="22"/>
          <w:lang w:val="bg-BG"/>
        </w:rPr>
        <w:t xml:space="preserve">. Индивидуалният напредък и личностното развитие се определят на по-високо ниво от това да се осигурява </w:t>
      </w:r>
      <w:r w:rsidRPr="00D225D8">
        <w:rPr>
          <w:rFonts w:ascii="Calibri" w:hAnsi="Calibri" w:cs="Calibri"/>
          <w:sz w:val="22"/>
          <w:szCs w:val="22"/>
          <w:lang w:val="bg-BG"/>
        </w:rPr>
        <w:t>предлагане на квалифицирана работна ръка</w:t>
      </w:r>
      <w:r w:rsidRPr="00D225D8">
        <w:rPr>
          <w:rFonts w:ascii="Calibri" w:hAnsi="Calibri"/>
          <w:sz w:val="22"/>
          <w:szCs w:val="22"/>
          <w:lang w:val="bg-BG"/>
        </w:rPr>
        <w:t>. Някои страни предлагат варианти на този подход, даващи по-голяма тежест на спецификата на професионалното образование. В тези случаи базираните в училище и базираните на работно място възможности формират части от една система.</w:t>
      </w:r>
    </w:p>
    <w:p w:rsidR="00064FDA" w:rsidRPr="007413BB" w:rsidRDefault="00064FDA" w:rsidP="00AE6B05">
      <w:pPr>
        <w:spacing w:after="163" w:line="240" w:lineRule="auto"/>
        <w:jc w:val="both"/>
        <w:rPr>
          <w:color w:val="0000FF"/>
          <w:sz w:val="24"/>
          <w:szCs w:val="24"/>
          <w:lang w:val="bg-BG"/>
        </w:rPr>
      </w:pPr>
      <w:r w:rsidRPr="007413BB">
        <w:rPr>
          <w:b/>
          <w:bCs/>
          <w:color w:val="FF0000"/>
          <w:sz w:val="24"/>
          <w:szCs w:val="24"/>
          <w:lang w:val="bg-BG"/>
        </w:rPr>
        <w:t>ПОО като продължаващо обучение</w:t>
      </w:r>
    </w:p>
    <w:p w:rsidR="00064FDA" w:rsidRPr="00D225D8" w:rsidRDefault="00064FDA" w:rsidP="007413BB">
      <w:pPr>
        <w:spacing w:after="163" w:line="360" w:lineRule="auto"/>
        <w:jc w:val="both"/>
        <w:rPr>
          <w:rFonts w:ascii="Verdana" w:hAnsi="Verdana"/>
          <w:sz w:val="20"/>
          <w:szCs w:val="20"/>
          <w:lang w:val="bg-BG"/>
        </w:rPr>
      </w:pPr>
      <w:r w:rsidRPr="007413BB">
        <w:rPr>
          <w:lang w:val="bg-BG"/>
        </w:rPr>
        <w:t xml:space="preserve">Някои страни разбират ПОО главно като обучение чрез работа за всички възрастови групи на различни нива </w:t>
      </w:r>
      <w:r w:rsidRPr="007413BB">
        <w:rPr>
          <w:lang w:val="ru-RU"/>
        </w:rPr>
        <w:t>(включително по-ниските нива),</w:t>
      </w:r>
      <w:r w:rsidRPr="007413BB">
        <w:rPr>
          <w:lang w:val="bg-BG"/>
        </w:rPr>
        <w:t xml:space="preserve"> предоставяни от широк кръг доставчици на продължаващо и висше образование. Ирландия е добър пример в това отношение. Идеята е да се обучават недостатъчно обучени и обучени работници или професионалисти. Програмите за безработни или програмите „втори шанс“ формират част от този вид ПОО. Наемането на работа доминира над професионалната идентичност. Преобладаваща е гледната точка на работодателите, че ПОО е начин да се осигурява предлагане на квалифицирана работна ръка и да се поощряват иновациите и икономическия растеж.</w:t>
      </w:r>
    </w:p>
    <w:p w:rsidR="00064FDA" w:rsidRPr="007413BB" w:rsidRDefault="00064FDA" w:rsidP="007413BB">
      <w:pPr>
        <w:spacing w:after="163" w:line="360" w:lineRule="auto"/>
        <w:jc w:val="both"/>
        <w:rPr>
          <w:rFonts w:ascii="Verdana" w:hAnsi="Verdana"/>
          <w:color w:val="0000FF"/>
          <w:sz w:val="24"/>
          <w:szCs w:val="24"/>
          <w:lang w:val="bg-BG"/>
        </w:rPr>
      </w:pPr>
      <w:r w:rsidRPr="007413BB">
        <w:rPr>
          <w:b/>
          <w:bCs/>
          <w:color w:val="FF0000"/>
          <w:sz w:val="24"/>
          <w:szCs w:val="24"/>
          <w:lang w:val="bg-BG"/>
        </w:rPr>
        <w:t xml:space="preserve">ПОО като </w:t>
      </w:r>
      <w:r w:rsidRPr="007413BB">
        <w:rPr>
          <w:b/>
          <w:bCs/>
          <w:color w:val="FF0000"/>
          <w:sz w:val="24"/>
          <w:szCs w:val="24"/>
          <w:lang w:val="ru-RU"/>
        </w:rPr>
        <w:t xml:space="preserve">(част </w:t>
      </w:r>
      <w:r w:rsidRPr="007413BB">
        <w:rPr>
          <w:b/>
          <w:bCs/>
          <w:color w:val="FF0000"/>
          <w:sz w:val="24"/>
          <w:szCs w:val="24"/>
          <w:lang w:val="bg-BG"/>
        </w:rPr>
        <w:t>от</w:t>
      </w:r>
      <w:r w:rsidRPr="007413BB">
        <w:rPr>
          <w:b/>
          <w:bCs/>
          <w:color w:val="FF0000"/>
          <w:sz w:val="24"/>
          <w:szCs w:val="24"/>
          <w:lang w:val="ru-RU"/>
        </w:rPr>
        <w:t>)</w:t>
      </w:r>
      <w:r w:rsidRPr="007413BB">
        <w:rPr>
          <w:b/>
          <w:bCs/>
          <w:color w:val="FF0000"/>
          <w:sz w:val="24"/>
          <w:szCs w:val="24"/>
          <w:lang w:val="bg-BG"/>
        </w:rPr>
        <w:t xml:space="preserve"> учене през целия живот</w:t>
      </w:r>
    </w:p>
    <w:p w:rsidR="00064FDA" w:rsidRPr="007413BB" w:rsidRDefault="00064FDA" w:rsidP="007413BB">
      <w:pPr>
        <w:spacing w:after="163" w:line="360" w:lineRule="auto"/>
        <w:jc w:val="both"/>
        <w:rPr>
          <w:rFonts w:ascii="Verdana" w:hAnsi="Verdana"/>
          <w:color w:val="0000FF"/>
          <w:sz w:val="20"/>
          <w:szCs w:val="20"/>
          <w:lang w:val="bg-BG"/>
        </w:rPr>
      </w:pPr>
      <w:r w:rsidRPr="002E785E">
        <w:rPr>
          <w:lang w:val="bg-BG"/>
        </w:rPr>
        <w:t xml:space="preserve">ПОО се разбира като </w:t>
      </w:r>
      <w:r>
        <w:rPr>
          <w:lang w:val="bg-BG"/>
        </w:rPr>
        <w:t xml:space="preserve">съвместно съществуване на различни подходи на учене, места за учене, видове доставчици </w:t>
      </w:r>
      <w:r w:rsidRPr="00377123">
        <w:rPr>
          <w:lang w:val="ru-RU"/>
        </w:rPr>
        <w:t>(</w:t>
      </w:r>
      <w:r w:rsidRPr="002E785E">
        <w:rPr>
          <w:lang w:val="bg-BG"/>
        </w:rPr>
        <w:t>училище, фирми, висше образование</w:t>
      </w:r>
      <w:r w:rsidRPr="00377123">
        <w:rPr>
          <w:lang w:val="ru-RU"/>
        </w:rPr>
        <w:t>)</w:t>
      </w:r>
      <w:r>
        <w:rPr>
          <w:lang w:val="bg-BG"/>
        </w:rPr>
        <w:t xml:space="preserve"> и видове инструктори </w:t>
      </w:r>
      <w:r w:rsidRPr="00377123">
        <w:rPr>
          <w:lang w:val="ru-RU"/>
        </w:rPr>
        <w:t>(</w:t>
      </w:r>
      <w:r>
        <w:rPr>
          <w:lang w:val="bg-BG"/>
        </w:rPr>
        <w:t>учители, обучители, майстори</w:t>
      </w:r>
      <w:r w:rsidRPr="00377123">
        <w:rPr>
          <w:lang w:val="ru-RU"/>
        </w:rPr>
        <w:t>)</w:t>
      </w:r>
      <w:r>
        <w:rPr>
          <w:lang w:val="bg-BG"/>
        </w:rPr>
        <w:t xml:space="preserve">. Финландия е пример за подхода, който е насочен към широк кръг образователни нива и нива на умения </w:t>
      </w:r>
      <w:r w:rsidRPr="00377123">
        <w:rPr>
          <w:lang w:val="ru-RU"/>
        </w:rPr>
        <w:t>(</w:t>
      </w:r>
      <w:r>
        <w:rPr>
          <w:lang w:val="bg-BG"/>
        </w:rPr>
        <w:t>за частично обучени, обучени и професионалисти</w:t>
      </w:r>
      <w:r w:rsidRPr="00377123">
        <w:rPr>
          <w:lang w:val="ru-RU"/>
        </w:rPr>
        <w:t>)</w:t>
      </w:r>
      <w:r>
        <w:rPr>
          <w:lang w:val="bg-BG"/>
        </w:rPr>
        <w:t xml:space="preserve">, резултати от учене </w:t>
      </w:r>
      <w:r w:rsidRPr="00377123">
        <w:rPr>
          <w:lang w:val="ru-RU"/>
        </w:rPr>
        <w:t>(</w:t>
      </w:r>
      <w:r w:rsidRPr="006C1EDF">
        <w:rPr>
          <w:lang w:val="bg-BG"/>
        </w:rPr>
        <w:t>едновременно специфично-професионални и ориентирани към по-широка професионална сфера, както и пред-професионални</w:t>
      </w:r>
      <w:r w:rsidRPr="00377123">
        <w:rPr>
          <w:lang w:val="ru-RU"/>
        </w:rPr>
        <w:t>)</w:t>
      </w:r>
      <w:r>
        <w:rPr>
          <w:lang w:val="bg-BG"/>
        </w:rPr>
        <w:t xml:space="preserve"> и видове квалификации </w:t>
      </w:r>
      <w:r w:rsidRPr="00377123">
        <w:rPr>
          <w:lang w:val="ru-RU"/>
        </w:rPr>
        <w:t>(</w:t>
      </w:r>
      <w:r w:rsidRPr="004D6ACF">
        <w:rPr>
          <w:lang w:val="bg-BG"/>
        </w:rPr>
        <w:t>професионални, образователни</w:t>
      </w:r>
      <w:r w:rsidRPr="00377123">
        <w:rPr>
          <w:lang w:val="ru-RU"/>
        </w:rPr>
        <w:t>).</w:t>
      </w:r>
      <w:r w:rsidRPr="004D6ACF">
        <w:rPr>
          <w:lang w:val="bg-BG"/>
        </w:rPr>
        <w:t xml:space="preserve"> </w:t>
      </w:r>
      <w:r>
        <w:rPr>
          <w:lang w:val="bg-BG"/>
        </w:rPr>
        <w:t>ПОО достига</w:t>
      </w:r>
      <w:r w:rsidRPr="004D6ACF">
        <w:rPr>
          <w:lang w:val="bg-BG"/>
        </w:rPr>
        <w:t xml:space="preserve"> до различни в</w:t>
      </w:r>
      <w:r>
        <w:rPr>
          <w:lang w:val="bg-BG"/>
        </w:rPr>
        <w:t>ъзрастови групи и обучавани с различен</w:t>
      </w:r>
      <w:r w:rsidRPr="004D6ACF">
        <w:rPr>
          <w:lang w:val="bg-BG"/>
        </w:rPr>
        <w:t xml:space="preserve"> статут </w:t>
      </w:r>
      <w:r>
        <w:rPr>
          <w:lang w:val="bg-BG"/>
        </w:rPr>
        <w:t>- от</w:t>
      </w:r>
      <w:r w:rsidRPr="004D6ACF">
        <w:rPr>
          <w:lang w:val="bg-BG"/>
        </w:rPr>
        <w:t xml:space="preserve"> чираци до студенти. В резултат на това ПОО се асоциира с голямо разнообразие на цели, вкл. равенств</w:t>
      </w:r>
      <w:r>
        <w:rPr>
          <w:lang w:val="bg-BG"/>
        </w:rPr>
        <w:t>о и социално включване</w:t>
      </w:r>
      <w:r w:rsidRPr="004D6ACF">
        <w:rPr>
          <w:lang w:val="bg-BG"/>
        </w:rPr>
        <w:t xml:space="preserve">. Началното и продължаващото ПОО формират част от единна концепция за </w:t>
      </w:r>
      <w:r>
        <w:rPr>
          <w:lang w:val="bg-BG"/>
        </w:rPr>
        <w:t>ПОО в рамките на перспективата за учене</w:t>
      </w:r>
      <w:r w:rsidRPr="004D6ACF">
        <w:rPr>
          <w:lang w:val="bg-BG"/>
        </w:rPr>
        <w:t xml:space="preserve"> през целия живот</w:t>
      </w:r>
      <w:r>
        <w:rPr>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6"/>
      </w:tblGrid>
      <w:tr w:rsidR="00064FDA" w:rsidRPr="00923567" w:rsidTr="00997EFA">
        <w:tc>
          <w:tcPr>
            <w:tcW w:w="9546" w:type="dxa"/>
          </w:tcPr>
          <w:p w:rsidR="00064FDA" w:rsidRPr="00997EFA" w:rsidRDefault="00064FDA" w:rsidP="00997EFA">
            <w:pPr>
              <w:keepNext/>
              <w:spacing w:after="122" w:line="408" w:lineRule="atLeast"/>
              <w:jc w:val="both"/>
              <w:rPr>
                <w:b/>
                <w:color w:val="CC4344"/>
                <w:sz w:val="24"/>
                <w:szCs w:val="24"/>
                <w:lang w:val="ru-RU"/>
              </w:rPr>
            </w:pPr>
            <w:r w:rsidRPr="00997EFA">
              <w:rPr>
                <w:b/>
                <w:color w:val="0000FF"/>
                <w:sz w:val="24"/>
                <w:szCs w:val="24"/>
                <w:lang w:val="bg-BG"/>
              </w:rPr>
              <w:t xml:space="preserve">Проект на </w:t>
            </w:r>
            <w:r w:rsidRPr="00997EFA">
              <w:rPr>
                <w:b/>
                <w:color w:val="0000FF"/>
                <w:sz w:val="24"/>
                <w:szCs w:val="24"/>
              </w:rPr>
              <w:t>Cedefop</w:t>
            </w:r>
            <w:r w:rsidRPr="00997EFA">
              <w:rPr>
                <w:b/>
                <w:color w:val="0000FF"/>
                <w:sz w:val="24"/>
                <w:szCs w:val="24"/>
                <w:lang w:val="ru-RU"/>
              </w:rPr>
              <w:t xml:space="preserve"> </w:t>
            </w:r>
            <w:r w:rsidRPr="00997EFA">
              <w:rPr>
                <w:b/>
                <w:color w:val="0000FF"/>
                <w:sz w:val="24"/>
                <w:szCs w:val="24"/>
                <w:lang w:val="bg-BG"/>
              </w:rPr>
              <w:t>„Промяна на същността и ролята на ПОО в Европа“</w:t>
            </w:r>
          </w:p>
          <w:p w:rsidR="00064FDA" w:rsidRPr="00997EFA" w:rsidRDefault="00064FDA" w:rsidP="00997EFA">
            <w:pPr>
              <w:spacing w:after="132" w:line="240" w:lineRule="auto"/>
              <w:jc w:val="both"/>
              <w:rPr>
                <w:rFonts w:cs="Calibri"/>
                <w:color w:val="0000FF"/>
                <w:lang w:val="bg-BG"/>
              </w:rPr>
            </w:pPr>
            <w:r w:rsidRPr="00997EFA">
              <w:rPr>
                <w:rFonts w:cs="Calibri"/>
                <w:color w:val="0000FF"/>
                <w:lang w:val="bg-BG"/>
              </w:rPr>
              <w:t xml:space="preserve">Изследователският проект на </w:t>
            </w:r>
            <w:r w:rsidRPr="00997EFA">
              <w:rPr>
                <w:rFonts w:cs="Calibri"/>
                <w:color w:val="0000FF"/>
              </w:rPr>
              <w:t>Cedefop</w:t>
            </w:r>
            <w:r w:rsidRPr="00997EFA">
              <w:rPr>
                <w:rFonts w:cs="Calibri"/>
                <w:color w:val="0000FF"/>
                <w:lang w:val="ru-RU"/>
              </w:rPr>
              <w:t xml:space="preserve"> </w:t>
            </w:r>
            <w:r w:rsidRPr="00997EFA">
              <w:rPr>
                <w:rFonts w:cs="Calibri"/>
                <w:color w:val="0000FF"/>
                <w:lang w:val="bg-BG"/>
              </w:rPr>
              <w:t>„Промяна на същността и ролята на ПОО в Европа“</w:t>
            </w:r>
            <w:r w:rsidRPr="00997EFA">
              <w:rPr>
                <w:rFonts w:cs="Calibri"/>
                <w:color w:val="0000FF"/>
                <w:lang w:val="ru-RU"/>
              </w:rPr>
              <w:t xml:space="preserve"> (2015-2018</w:t>
            </w:r>
            <w:r w:rsidRPr="00997EFA">
              <w:rPr>
                <w:rFonts w:cs="Calibri"/>
                <w:color w:val="0000FF"/>
                <w:lang w:val="bg-BG"/>
              </w:rPr>
              <w:t xml:space="preserve"> г.</w:t>
            </w:r>
            <w:r w:rsidRPr="00997EFA">
              <w:rPr>
                <w:rFonts w:cs="Calibri"/>
                <w:color w:val="0000FF"/>
                <w:lang w:val="ru-RU"/>
              </w:rPr>
              <w:t>)</w:t>
            </w:r>
            <w:r w:rsidRPr="00997EFA">
              <w:rPr>
                <w:rFonts w:cs="Calibri"/>
                <w:color w:val="0000FF"/>
                <w:lang w:val="bg-BG"/>
              </w:rPr>
              <w:t xml:space="preserve"> има за цел да улови динамичния характер на ПОО чрез анализиране на настъпили промени, произтичащи от тях бъдещи предизвикателства и възможности за решаването им в Европа. По-специално проектът е насочен към:</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променената дефиниция и концепция за ПОО;</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външни фактори, влияещи върху развитието на ПОО;</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ролята на традиционното ПОО на високо ниво на средното образование;</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ПОО в перспективата на УЦЖ;</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ролята на ПОО за нивата на висшето образование;</w:t>
            </w:r>
          </w:p>
          <w:p w:rsidR="00064FDA" w:rsidRPr="00997EFA" w:rsidRDefault="00064FDA" w:rsidP="00997EFA">
            <w:pPr>
              <w:numPr>
                <w:ilvl w:val="0"/>
                <w:numId w:val="5"/>
              </w:numPr>
              <w:spacing w:after="132" w:line="240" w:lineRule="auto"/>
              <w:jc w:val="both"/>
              <w:rPr>
                <w:rFonts w:cs="Calibri"/>
                <w:color w:val="0000FF"/>
                <w:lang w:val="bg-BG"/>
              </w:rPr>
            </w:pPr>
            <w:r w:rsidRPr="00997EFA">
              <w:rPr>
                <w:rFonts w:cs="Calibri"/>
                <w:color w:val="0000FF"/>
                <w:lang w:val="bg-BG"/>
              </w:rPr>
              <w:t>сценарии, очертаващи алтернативни пътеки за развитие на европейското ПОО през 21-ви век.</w:t>
            </w:r>
          </w:p>
          <w:p w:rsidR="00064FDA" w:rsidRPr="00997EFA" w:rsidRDefault="00064FDA" w:rsidP="00997EFA">
            <w:pPr>
              <w:pStyle w:val="NormalWeb"/>
              <w:spacing w:before="0" w:beforeAutospacing="0" w:after="132" w:afterAutospacing="0"/>
              <w:jc w:val="both"/>
              <w:rPr>
                <w:rFonts w:ascii="Calibri" w:hAnsi="Calibri" w:cs="Calibri"/>
                <w:color w:val="0000FF"/>
                <w:sz w:val="22"/>
                <w:szCs w:val="22"/>
                <w:lang w:val="bg-BG"/>
              </w:rPr>
            </w:pPr>
            <w:r w:rsidRPr="00997EFA">
              <w:rPr>
                <w:rFonts w:ascii="Calibri" w:hAnsi="Calibri"/>
                <w:color w:val="0000FF"/>
                <w:sz w:val="22"/>
                <w:szCs w:val="22"/>
                <w:lang w:val="bg-BG"/>
              </w:rPr>
              <w:t xml:space="preserve">При инициирането на проекта, </w:t>
            </w:r>
            <w:r w:rsidRPr="00997EFA">
              <w:rPr>
                <w:rFonts w:ascii="Calibri" w:hAnsi="Calibri"/>
                <w:color w:val="0000FF"/>
                <w:sz w:val="22"/>
                <w:szCs w:val="22"/>
              </w:rPr>
              <w:t>Cedefop</w:t>
            </w:r>
            <w:r w:rsidRPr="00997EFA">
              <w:rPr>
                <w:rFonts w:ascii="Calibri" w:hAnsi="Calibri"/>
                <w:color w:val="0000FF"/>
                <w:sz w:val="22"/>
                <w:szCs w:val="22"/>
                <w:lang w:val="bg-BG"/>
              </w:rPr>
              <w:t xml:space="preserve"> се обърна към експерти по ПОО в 30 участващи страни </w:t>
            </w:r>
            <w:r w:rsidRPr="00997EFA">
              <w:rPr>
                <w:rFonts w:ascii="Calibri" w:hAnsi="Calibri"/>
                <w:color w:val="0000FF"/>
                <w:sz w:val="22"/>
                <w:szCs w:val="22"/>
                <w:lang w:val="ru-RU"/>
              </w:rPr>
              <w:t>(</w:t>
            </w:r>
            <w:r w:rsidRPr="00997EFA">
              <w:rPr>
                <w:rFonts w:ascii="Calibri" w:hAnsi="Calibri"/>
                <w:color w:val="0000FF"/>
                <w:sz w:val="22"/>
                <w:szCs w:val="22"/>
                <w:vertAlign w:val="superscript"/>
              </w:rPr>
              <w:t>a</w:t>
            </w:r>
            <w:r w:rsidRPr="00997EFA">
              <w:rPr>
                <w:rFonts w:ascii="Calibri" w:hAnsi="Calibri"/>
                <w:color w:val="0000FF"/>
                <w:sz w:val="22"/>
                <w:szCs w:val="22"/>
                <w:lang w:val="ru-RU"/>
              </w:rPr>
              <w:t>)</w:t>
            </w:r>
            <w:r w:rsidRPr="00997EFA">
              <w:rPr>
                <w:rFonts w:ascii="Calibri" w:hAnsi="Calibri"/>
                <w:color w:val="0000FF"/>
                <w:sz w:val="22"/>
                <w:szCs w:val="22"/>
                <w:lang w:val="bg-BG"/>
              </w:rPr>
              <w:t xml:space="preserve"> да споделят вижданията си за това как се променят националните системи за ПОО </w:t>
            </w:r>
            <w:r w:rsidRPr="00997EFA">
              <w:rPr>
                <w:rFonts w:ascii="Calibri" w:hAnsi="Calibri"/>
                <w:color w:val="0000FF"/>
                <w:sz w:val="22"/>
                <w:szCs w:val="22"/>
                <w:lang w:val="ru-RU"/>
              </w:rPr>
              <w:t>(</w:t>
            </w:r>
            <w:r w:rsidRPr="00997EFA">
              <w:rPr>
                <w:rFonts w:ascii="Calibri" w:hAnsi="Calibri"/>
                <w:color w:val="0000FF"/>
                <w:sz w:val="22"/>
                <w:szCs w:val="22"/>
                <w:vertAlign w:val="superscript"/>
              </w:rPr>
              <w:t>b</w:t>
            </w:r>
            <w:r w:rsidRPr="00997EFA">
              <w:rPr>
                <w:rFonts w:ascii="Calibri" w:hAnsi="Calibri"/>
                <w:color w:val="0000FF"/>
                <w:sz w:val="22"/>
                <w:szCs w:val="22"/>
                <w:lang w:val="ru-RU"/>
              </w:rPr>
              <w:t>).</w:t>
            </w:r>
            <w:r w:rsidRPr="00997EFA">
              <w:rPr>
                <w:rFonts w:ascii="Calibri" w:hAnsi="Calibri"/>
                <w:color w:val="0000FF"/>
                <w:sz w:val="22"/>
                <w:szCs w:val="22"/>
                <w:lang w:val="bg-BG"/>
              </w:rPr>
              <w:t xml:space="preserve"> Резултатите от изследването дават представа за разнообразието на национални решения за ПОО, като показват и общите тенденции и предизвикателства. Това кратко съобщение се базира на два работни документа </w:t>
            </w:r>
            <w:r w:rsidRPr="00997EFA">
              <w:rPr>
                <w:rFonts w:ascii="Calibri" w:hAnsi="Calibri"/>
                <w:color w:val="0000FF"/>
                <w:sz w:val="22"/>
                <w:szCs w:val="22"/>
                <w:lang w:val="ru-RU"/>
              </w:rPr>
              <w:t xml:space="preserve">(от </w:t>
            </w:r>
            <w:r w:rsidRPr="00997EFA">
              <w:rPr>
                <w:rFonts w:ascii="Calibri" w:hAnsi="Calibri"/>
                <w:color w:val="0000FF"/>
                <w:sz w:val="22"/>
                <w:szCs w:val="22"/>
                <w:lang w:val="bg-BG"/>
              </w:rPr>
              <w:t>септември 2017 г.</w:t>
            </w:r>
            <w:r w:rsidRPr="00997EFA">
              <w:rPr>
                <w:rFonts w:ascii="Calibri" w:hAnsi="Calibri"/>
                <w:color w:val="0000FF"/>
                <w:sz w:val="22"/>
                <w:szCs w:val="22"/>
                <w:lang w:val="ru-RU"/>
              </w:rPr>
              <w:t>)</w:t>
            </w:r>
            <w:r w:rsidRPr="00997EFA">
              <w:rPr>
                <w:rFonts w:ascii="Calibri" w:hAnsi="Calibri"/>
                <w:color w:val="0000FF"/>
                <w:sz w:val="22"/>
                <w:szCs w:val="22"/>
                <w:lang w:val="bg-BG"/>
              </w:rPr>
              <w:t xml:space="preserve"> които разглеждат ПОО от различна гледна точка, съчетавайки системната/институционалната перспектива и социално-икономическата перспектива от гледната точка на пазара на труда. Това ни позволява да наблюдаваме как професионално ориентираните форми и формати на учене се развиват в по-тясна връзка с пазара на труда, вкл. в институциите, които традиционно не се определят като „професионални“. След получаване на резултати от проекта ще бъдат публикувани още материали.</w:t>
            </w:r>
          </w:p>
        </w:tc>
      </w:tr>
    </w:tbl>
    <w:p w:rsidR="00064FDA" w:rsidRPr="00114599" w:rsidRDefault="00064FDA" w:rsidP="00114599">
      <w:pPr>
        <w:keepNext/>
        <w:spacing w:after="490" w:line="240" w:lineRule="auto"/>
        <w:jc w:val="both"/>
        <w:rPr>
          <w:i/>
          <w:color w:val="000000"/>
          <w:sz w:val="20"/>
          <w:szCs w:val="20"/>
          <w:lang w:val="ru-RU"/>
        </w:rPr>
      </w:pPr>
      <w:r w:rsidRPr="00114599">
        <w:rPr>
          <w:i/>
          <w:color w:val="000000"/>
          <w:sz w:val="20"/>
          <w:szCs w:val="20"/>
          <w:lang w:val="ru-RU"/>
        </w:rPr>
        <w:t>(</w:t>
      </w:r>
      <w:r w:rsidRPr="00114599">
        <w:rPr>
          <w:i/>
          <w:color w:val="000000"/>
          <w:sz w:val="20"/>
          <w:szCs w:val="20"/>
          <w:vertAlign w:val="superscript"/>
        </w:rPr>
        <w:t>a</w:t>
      </w:r>
      <w:r w:rsidRPr="00114599">
        <w:rPr>
          <w:i/>
          <w:color w:val="000000"/>
          <w:sz w:val="20"/>
          <w:szCs w:val="20"/>
          <w:lang w:val="ru-RU"/>
        </w:rPr>
        <w:t xml:space="preserve">) </w:t>
      </w:r>
      <w:r w:rsidRPr="00114599">
        <w:rPr>
          <w:i/>
          <w:color w:val="000000"/>
          <w:sz w:val="20"/>
          <w:szCs w:val="20"/>
          <w:lang w:val="bg-BG"/>
        </w:rPr>
        <w:t>28 страни членки, Исландия и Норвегия.</w:t>
      </w:r>
      <w:r w:rsidRPr="00114599">
        <w:rPr>
          <w:i/>
          <w:color w:val="000000"/>
          <w:sz w:val="20"/>
          <w:szCs w:val="20"/>
          <w:lang w:val="ru-RU"/>
        </w:rPr>
        <w:t xml:space="preserve"> </w:t>
      </w:r>
    </w:p>
    <w:p w:rsidR="00064FDA" w:rsidRDefault="00064FDA" w:rsidP="00114599">
      <w:pPr>
        <w:keepNext/>
        <w:spacing w:after="122" w:line="240" w:lineRule="auto"/>
        <w:jc w:val="both"/>
        <w:rPr>
          <w:lang w:val="bg-BG"/>
        </w:rPr>
      </w:pPr>
      <w:r w:rsidRPr="00114599">
        <w:rPr>
          <w:color w:val="000000"/>
          <w:sz w:val="20"/>
          <w:szCs w:val="20"/>
          <w:lang w:val="ru-RU"/>
        </w:rPr>
        <w:t>(</w:t>
      </w:r>
      <w:r w:rsidRPr="00114599">
        <w:rPr>
          <w:color w:val="000000"/>
          <w:sz w:val="20"/>
          <w:szCs w:val="20"/>
          <w:vertAlign w:val="superscript"/>
        </w:rPr>
        <w:t>b</w:t>
      </w:r>
      <w:r w:rsidRPr="00114599">
        <w:rPr>
          <w:color w:val="000000"/>
          <w:sz w:val="20"/>
          <w:szCs w:val="20"/>
          <w:lang w:val="ru-RU"/>
        </w:rPr>
        <w:t xml:space="preserve">) </w:t>
      </w:r>
      <w:r w:rsidRPr="00114599">
        <w:rPr>
          <w:color w:val="000000"/>
          <w:sz w:val="20"/>
          <w:szCs w:val="20"/>
          <w:lang w:val="bg-BG"/>
        </w:rPr>
        <w:t xml:space="preserve">Изследването се провежда между септември и ноември </w:t>
      </w:r>
      <w:r w:rsidRPr="00114599">
        <w:rPr>
          <w:color w:val="000000"/>
          <w:sz w:val="20"/>
          <w:szCs w:val="20"/>
        </w:rPr>
        <w:t>Survey</w:t>
      </w:r>
      <w:r w:rsidRPr="00114599">
        <w:rPr>
          <w:color w:val="000000"/>
          <w:sz w:val="20"/>
          <w:szCs w:val="20"/>
          <w:lang w:val="ru-RU"/>
        </w:rPr>
        <w:t xml:space="preserve"> 2016</w:t>
      </w:r>
      <w:r w:rsidRPr="00114599">
        <w:rPr>
          <w:color w:val="000000"/>
          <w:sz w:val="20"/>
          <w:szCs w:val="20"/>
          <w:lang w:val="bg-BG"/>
        </w:rPr>
        <w:t xml:space="preserve"> г</w:t>
      </w:r>
      <w:r w:rsidRPr="00114599">
        <w:rPr>
          <w:color w:val="000000"/>
          <w:sz w:val="20"/>
          <w:szCs w:val="20"/>
          <w:lang w:val="ru-RU"/>
        </w:rPr>
        <w:t xml:space="preserve">. </w:t>
      </w:r>
      <w:r w:rsidRPr="00114599">
        <w:rPr>
          <w:color w:val="000000"/>
          <w:sz w:val="20"/>
          <w:szCs w:val="20"/>
          <w:lang w:val="bg-BG"/>
        </w:rPr>
        <w:t>Резултатите ще бъдат публикувани в</w:t>
      </w:r>
      <w:r w:rsidRPr="00114599">
        <w:rPr>
          <w:color w:val="000000"/>
          <w:sz w:val="20"/>
          <w:szCs w:val="20"/>
          <w:lang w:val="ru-RU"/>
        </w:rPr>
        <w:t xml:space="preserve">: </w:t>
      </w:r>
      <w:r w:rsidRPr="00114599">
        <w:rPr>
          <w:color w:val="000000"/>
          <w:sz w:val="20"/>
          <w:szCs w:val="20"/>
        </w:rPr>
        <w:t>Cedefop</w:t>
      </w:r>
      <w:r w:rsidRPr="00114599">
        <w:rPr>
          <w:color w:val="000000"/>
          <w:sz w:val="20"/>
          <w:szCs w:val="20"/>
          <w:lang w:val="ru-RU"/>
        </w:rPr>
        <w:t xml:space="preserve"> (2017). </w:t>
      </w:r>
      <w:r w:rsidRPr="00114599">
        <w:rPr>
          <w:i/>
          <w:iCs/>
          <w:color w:val="000000"/>
          <w:sz w:val="20"/>
          <w:szCs w:val="20"/>
        </w:rPr>
        <w:t>Changing</w:t>
      </w:r>
      <w:r w:rsidRPr="00114599">
        <w:rPr>
          <w:i/>
          <w:iCs/>
          <w:color w:val="000000"/>
          <w:sz w:val="20"/>
          <w:szCs w:val="20"/>
          <w:lang w:val="en-GB"/>
        </w:rPr>
        <w:t xml:space="preserve"> </w:t>
      </w:r>
      <w:r w:rsidRPr="00114599">
        <w:rPr>
          <w:i/>
          <w:iCs/>
          <w:color w:val="000000"/>
          <w:sz w:val="20"/>
          <w:szCs w:val="20"/>
        </w:rPr>
        <w:t>conceptions</w:t>
      </w:r>
      <w:r w:rsidRPr="00114599">
        <w:rPr>
          <w:i/>
          <w:iCs/>
          <w:color w:val="000000"/>
          <w:sz w:val="20"/>
          <w:szCs w:val="20"/>
          <w:lang w:val="en-GB"/>
        </w:rPr>
        <w:t xml:space="preserve"> </w:t>
      </w:r>
      <w:r w:rsidRPr="00114599">
        <w:rPr>
          <w:i/>
          <w:iCs/>
          <w:color w:val="000000"/>
          <w:sz w:val="20"/>
          <w:szCs w:val="20"/>
        </w:rPr>
        <w:t>of</w:t>
      </w:r>
      <w:r w:rsidRPr="00114599">
        <w:rPr>
          <w:i/>
          <w:iCs/>
          <w:color w:val="000000"/>
          <w:sz w:val="20"/>
          <w:szCs w:val="20"/>
          <w:lang w:val="en-GB"/>
        </w:rPr>
        <w:t xml:space="preserve"> </w:t>
      </w:r>
      <w:r w:rsidRPr="00114599">
        <w:rPr>
          <w:i/>
          <w:iCs/>
          <w:color w:val="000000"/>
          <w:sz w:val="20"/>
          <w:szCs w:val="20"/>
        </w:rPr>
        <w:t>VET</w:t>
      </w:r>
      <w:r w:rsidRPr="00114599">
        <w:rPr>
          <w:i/>
          <w:iCs/>
          <w:color w:val="000000"/>
          <w:sz w:val="20"/>
          <w:szCs w:val="20"/>
          <w:lang w:val="en-GB"/>
        </w:rPr>
        <w:t xml:space="preserve">: </w:t>
      </w:r>
      <w:r w:rsidRPr="00114599">
        <w:rPr>
          <w:i/>
          <w:iCs/>
          <w:color w:val="000000"/>
          <w:sz w:val="20"/>
          <w:szCs w:val="20"/>
        </w:rPr>
        <w:t>results</w:t>
      </w:r>
      <w:r w:rsidRPr="00114599">
        <w:rPr>
          <w:i/>
          <w:iCs/>
          <w:color w:val="000000"/>
          <w:sz w:val="20"/>
          <w:szCs w:val="20"/>
          <w:lang w:val="en-GB"/>
        </w:rPr>
        <w:t xml:space="preserve"> </w:t>
      </w:r>
      <w:r w:rsidRPr="00114599">
        <w:rPr>
          <w:i/>
          <w:iCs/>
          <w:color w:val="000000"/>
          <w:sz w:val="20"/>
          <w:szCs w:val="20"/>
        </w:rPr>
        <w:t>of</w:t>
      </w:r>
      <w:r w:rsidRPr="00114599">
        <w:rPr>
          <w:i/>
          <w:iCs/>
          <w:color w:val="000000"/>
          <w:sz w:val="20"/>
          <w:szCs w:val="20"/>
          <w:lang w:val="en-GB"/>
        </w:rPr>
        <w:t xml:space="preserve"> </w:t>
      </w:r>
      <w:r w:rsidRPr="00114599">
        <w:rPr>
          <w:i/>
          <w:iCs/>
          <w:color w:val="000000"/>
          <w:sz w:val="20"/>
          <w:szCs w:val="20"/>
        </w:rPr>
        <w:t>a</w:t>
      </w:r>
      <w:r w:rsidRPr="00114599">
        <w:rPr>
          <w:i/>
          <w:iCs/>
          <w:color w:val="000000"/>
          <w:sz w:val="20"/>
          <w:szCs w:val="20"/>
          <w:lang w:val="en-GB"/>
        </w:rPr>
        <w:t xml:space="preserve"> </w:t>
      </w:r>
      <w:r w:rsidRPr="00114599">
        <w:rPr>
          <w:i/>
          <w:iCs/>
          <w:color w:val="000000"/>
          <w:sz w:val="20"/>
          <w:szCs w:val="20"/>
        </w:rPr>
        <w:t>survey</w:t>
      </w:r>
      <w:r w:rsidRPr="00114599">
        <w:rPr>
          <w:i/>
          <w:iCs/>
          <w:color w:val="000000"/>
          <w:sz w:val="20"/>
          <w:szCs w:val="20"/>
          <w:lang w:val="en-GB"/>
        </w:rPr>
        <w:t xml:space="preserve"> </w:t>
      </w:r>
      <w:r w:rsidRPr="00114599">
        <w:rPr>
          <w:i/>
          <w:iCs/>
          <w:color w:val="000000"/>
          <w:sz w:val="20"/>
          <w:szCs w:val="20"/>
        </w:rPr>
        <w:t>among</w:t>
      </w:r>
      <w:r w:rsidRPr="00114599">
        <w:rPr>
          <w:i/>
          <w:iCs/>
          <w:color w:val="000000"/>
          <w:sz w:val="20"/>
          <w:szCs w:val="20"/>
          <w:lang w:val="en-GB"/>
        </w:rPr>
        <w:t xml:space="preserve"> </w:t>
      </w:r>
      <w:r w:rsidRPr="00114599">
        <w:rPr>
          <w:i/>
          <w:iCs/>
          <w:color w:val="000000"/>
          <w:sz w:val="20"/>
          <w:szCs w:val="20"/>
        </w:rPr>
        <w:t>European</w:t>
      </w:r>
      <w:r w:rsidRPr="00114599">
        <w:rPr>
          <w:i/>
          <w:iCs/>
          <w:color w:val="000000"/>
          <w:sz w:val="20"/>
          <w:szCs w:val="20"/>
          <w:lang w:val="en-GB"/>
        </w:rPr>
        <w:t xml:space="preserve"> </w:t>
      </w:r>
      <w:r w:rsidRPr="00114599">
        <w:rPr>
          <w:i/>
          <w:iCs/>
          <w:color w:val="000000"/>
          <w:sz w:val="20"/>
          <w:szCs w:val="20"/>
        </w:rPr>
        <w:t>VET</w:t>
      </w:r>
      <w:r w:rsidRPr="00114599">
        <w:rPr>
          <w:i/>
          <w:iCs/>
          <w:color w:val="000000"/>
          <w:sz w:val="20"/>
          <w:szCs w:val="20"/>
          <w:lang w:val="en-GB"/>
        </w:rPr>
        <w:t xml:space="preserve"> </w:t>
      </w:r>
      <w:r w:rsidRPr="00114599">
        <w:rPr>
          <w:i/>
          <w:iCs/>
          <w:color w:val="000000"/>
          <w:sz w:val="20"/>
          <w:szCs w:val="20"/>
        </w:rPr>
        <w:t>experts</w:t>
      </w:r>
      <w:r w:rsidRPr="00114599">
        <w:rPr>
          <w:color w:val="000000"/>
          <w:sz w:val="20"/>
          <w:szCs w:val="20"/>
          <w:lang w:val="en-GB"/>
        </w:rPr>
        <w:t xml:space="preserve"> [</w:t>
      </w:r>
      <w:r w:rsidRPr="00114599">
        <w:rPr>
          <w:color w:val="000000"/>
          <w:sz w:val="20"/>
          <w:szCs w:val="20"/>
        </w:rPr>
        <w:t>forthcomin</w:t>
      </w:r>
      <w:r w:rsidRPr="00686351">
        <w:rPr>
          <w:rFonts w:ascii="Verdana" w:hAnsi="Verdana"/>
          <w:color w:val="000000"/>
          <w:sz w:val="16"/>
          <w:szCs w:val="16"/>
        </w:rPr>
        <w:t>g</w:t>
      </w:r>
      <w:r w:rsidRPr="00686351">
        <w:rPr>
          <w:rFonts w:ascii="Verdana" w:hAnsi="Verdana"/>
          <w:color w:val="000000"/>
          <w:sz w:val="16"/>
          <w:szCs w:val="16"/>
          <w:lang w:val="en-GB"/>
        </w:rPr>
        <w:t>]</w:t>
      </w:r>
    </w:p>
    <w:p w:rsidR="00064FDA" w:rsidRDefault="00064FDA" w:rsidP="003B4271">
      <w:pPr>
        <w:spacing w:after="163" w:line="509" w:lineRule="atLeast"/>
        <w:jc w:val="both"/>
        <w:rPr>
          <w:b/>
          <w:color w:val="0000FF"/>
          <w:sz w:val="28"/>
          <w:szCs w:val="28"/>
          <w:lang w:val="bg-BG"/>
        </w:rPr>
      </w:pPr>
    </w:p>
    <w:p w:rsidR="00064FDA" w:rsidRPr="00562021" w:rsidRDefault="00064FDA" w:rsidP="003B4271">
      <w:pPr>
        <w:spacing w:after="163" w:line="509" w:lineRule="atLeast"/>
        <w:jc w:val="both"/>
        <w:rPr>
          <w:b/>
          <w:color w:val="0000FF"/>
          <w:sz w:val="28"/>
          <w:szCs w:val="28"/>
          <w:lang w:val="bg-BG"/>
        </w:rPr>
      </w:pPr>
      <w:r w:rsidRPr="00562021">
        <w:rPr>
          <w:b/>
          <w:color w:val="0000FF"/>
          <w:sz w:val="28"/>
          <w:szCs w:val="28"/>
          <w:lang w:val="bg-BG"/>
        </w:rPr>
        <w:t>Смяна на концепциите, смяна на реалностите?</w:t>
      </w:r>
    </w:p>
    <w:p w:rsidR="00064FDA" w:rsidRPr="007413BB" w:rsidRDefault="00064FDA" w:rsidP="00562021">
      <w:pPr>
        <w:spacing w:after="163" w:line="360" w:lineRule="auto"/>
        <w:jc w:val="both"/>
        <w:rPr>
          <w:lang w:val="bg-BG"/>
        </w:rPr>
      </w:pPr>
      <w:r w:rsidRPr="007413BB">
        <w:rPr>
          <w:lang w:val="bg-BG"/>
        </w:rPr>
        <w:t>Отвъд тези модели, в Европа се появиха някои общи тенденции, които потенциално променят начина на разбиране и развитие на ПОО в бъдещето.</w:t>
      </w:r>
    </w:p>
    <w:p w:rsidR="00064FDA" w:rsidRPr="007413BB" w:rsidRDefault="00064FDA" w:rsidP="00562021">
      <w:pPr>
        <w:numPr>
          <w:ilvl w:val="0"/>
          <w:numId w:val="6"/>
        </w:numPr>
        <w:spacing w:after="163" w:line="360" w:lineRule="auto"/>
        <w:jc w:val="both"/>
        <w:rPr>
          <w:lang w:val="bg-BG"/>
        </w:rPr>
      </w:pPr>
      <w:r w:rsidRPr="007413BB">
        <w:rPr>
          <w:b/>
          <w:lang w:val="bg-BG"/>
        </w:rPr>
        <w:t>Фокус върху практическите знания:</w:t>
      </w:r>
      <w:r w:rsidRPr="007413BB">
        <w:rPr>
          <w:lang w:val="bg-BG"/>
        </w:rPr>
        <w:t xml:space="preserve"> много страни, особено тези с по-широко застъпено базирано в училище ПОО, поставят по-голямо ударение върху практическото знание в учебните планове, програмите и учебните подходи, като засилват предоставянето на обучението чрез работа. Това включва въвеждане на схеми за дуално обучение </w:t>
      </w:r>
      <w:r w:rsidRPr="007413BB">
        <w:rPr>
          <w:lang w:val="ru-RU"/>
        </w:rPr>
        <w:t>(</w:t>
      </w:r>
      <w:r w:rsidRPr="007413BB">
        <w:rPr>
          <w:lang w:val="bg-BG"/>
        </w:rPr>
        <w:t>в много от страните</w:t>
      </w:r>
      <w:r w:rsidRPr="007413BB">
        <w:rPr>
          <w:lang w:val="ru-RU"/>
        </w:rPr>
        <w:t>)</w:t>
      </w:r>
      <w:r w:rsidRPr="007413BB">
        <w:rPr>
          <w:lang w:val="bg-BG"/>
        </w:rPr>
        <w:t xml:space="preserve"> и/или разширяване на тези схеми към по-високи нива на образование </w:t>
      </w:r>
      <w:r w:rsidRPr="007413BB">
        <w:rPr>
          <w:lang w:val="ru-RU"/>
        </w:rPr>
        <w:t>(</w:t>
      </w:r>
      <w:r w:rsidRPr="007413BB">
        <w:rPr>
          <w:lang w:val="bg-BG"/>
        </w:rPr>
        <w:t>Германия, Франция и Италия</w:t>
      </w:r>
      <w:r w:rsidRPr="007413BB">
        <w:rPr>
          <w:lang w:val="ru-RU"/>
        </w:rPr>
        <w:t>).</w:t>
      </w:r>
      <w:r w:rsidRPr="007413BB">
        <w:rPr>
          <w:lang w:val="bg-BG"/>
        </w:rPr>
        <w:t xml:space="preserve"> На нивото на управление това довежда до по-значимата роля на работодателите и индустрията </w:t>
      </w:r>
      <w:r w:rsidRPr="007413BB">
        <w:rPr>
          <w:lang w:val="ru-RU"/>
        </w:rPr>
        <w:t>(</w:t>
      </w:r>
      <w:r w:rsidRPr="007413BB">
        <w:rPr>
          <w:lang w:val="bg-BG"/>
        </w:rPr>
        <w:t>като в Унгария и в Обединеното кралство-Англия</w:t>
      </w:r>
      <w:r w:rsidRPr="007413BB">
        <w:rPr>
          <w:lang w:val="ru-RU"/>
        </w:rPr>
        <w:t>),</w:t>
      </w:r>
      <w:r w:rsidRPr="007413BB">
        <w:rPr>
          <w:lang w:val="bg-BG"/>
        </w:rPr>
        <w:t xml:space="preserve"> често в рамките на социално партньорство </w:t>
      </w:r>
      <w:r w:rsidRPr="007413BB">
        <w:rPr>
          <w:lang w:val="ru-RU"/>
        </w:rPr>
        <w:t>(</w:t>
      </w:r>
      <w:r w:rsidRPr="007413BB">
        <w:rPr>
          <w:lang w:val="bg-BG"/>
        </w:rPr>
        <w:t>Хърватска, Литва и Малта</w:t>
      </w:r>
      <w:r w:rsidRPr="007413BB">
        <w:rPr>
          <w:lang w:val="ru-RU"/>
        </w:rPr>
        <w:t>)</w:t>
      </w:r>
      <w:r w:rsidRPr="007413BB">
        <w:rPr>
          <w:lang w:val="bg-BG"/>
        </w:rPr>
        <w:t xml:space="preserve"> и усилия за поощряване участието на предприятията във финансирането на ПОО.</w:t>
      </w:r>
    </w:p>
    <w:p w:rsidR="00064FDA" w:rsidRPr="007413BB" w:rsidRDefault="00064FDA" w:rsidP="00562021">
      <w:pPr>
        <w:numPr>
          <w:ilvl w:val="0"/>
          <w:numId w:val="6"/>
        </w:numPr>
        <w:spacing w:after="163" w:line="360" w:lineRule="auto"/>
        <w:jc w:val="both"/>
        <w:rPr>
          <w:lang w:val="bg-BG"/>
        </w:rPr>
      </w:pPr>
      <w:r w:rsidRPr="007413BB">
        <w:rPr>
          <w:b/>
          <w:lang w:val="bg-BG"/>
        </w:rPr>
        <w:t>Диверсификация при осигуряване на ПОО:</w:t>
      </w:r>
      <w:r w:rsidRPr="007413BB">
        <w:rPr>
          <w:lang w:val="bg-BG"/>
        </w:rPr>
        <w:t xml:space="preserve"> много страни разшириха предоставянето на ПОО за да достигнат до повече възрастови групи, нива на умения и групи със специални нужди. Напр. Португалия въведе пътеки за ПОО за млади хора под 16 г.</w:t>
      </w:r>
    </w:p>
    <w:p w:rsidR="00064FDA" w:rsidRPr="007413BB" w:rsidRDefault="00064FDA" w:rsidP="00562021">
      <w:pPr>
        <w:numPr>
          <w:ilvl w:val="0"/>
          <w:numId w:val="6"/>
        </w:numPr>
        <w:spacing w:after="163" w:line="360" w:lineRule="auto"/>
        <w:jc w:val="both"/>
        <w:rPr>
          <w:lang w:val="ru-RU"/>
        </w:rPr>
      </w:pPr>
      <w:r w:rsidRPr="007413BB">
        <w:rPr>
          <w:b/>
          <w:lang w:val="bg-BG"/>
        </w:rPr>
        <w:t>По-лесен достъп до висше образование:</w:t>
      </w:r>
      <w:r w:rsidRPr="007413BB">
        <w:rPr>
          <w:lang w:val="bg-BG"/>
        </w:rPr>
        <w:t xml:space="preserve"> вертикалната проходимост от средно към висше образование нараства. Достъпът до висше образование чрез професионална квалификация беше повишен в страни с дългогодишни традиции в ПОО: Дания, Германия, Франция, Австрия и Обединеното кралство-Англия. Германия сега предоставя достъп до висше образование на кандидати с професионална квалификация </w:t>
      </w:r>
      <w:r w:rsidRPr="0074692E">
        <w:rPr>
          <w:sz w:val="16"/>
          <w:szCs w:val="16"/>
          <w:lang w:val="ru-RU"/>
        </w:rPr>
        <w:t>(1),</w:t>
      </w:r>
      <w:r w:rsidRPr="007413BB">
        <w:rPr>
          <w:lang w:val="ru-RU"/>
        </w:rPr>
        <w:t xml:space="preserve"> ако докажат съответния професионален опит, издържат тест за установяване на способностите или успешно завършат една изпитателна година. През последните години институциите за висше образование в много страни се превърнаха в доставчици на ПОО, при което академичното ниво прелива в професионалното.</w:t>
      </w:r>
    </w:p>
    <w:p w:rsidR="00064FDA" w:rsidRPr="00D225D8" w:rsidRDefault="00064FDA" w:rsidP="00562021">
      <w:pPr>
        <w:numPr>
          <w:ilvl w:val="0"/>
          <w:numId w:val="6"/>
        </w:numPr>
        <w:spacing w:before="100" w:beforeAutospacing="1" w:after="100" w:afterAutospacing="1" w:line="360" w:lineRule="auto"/>
        <w:jc w:val="both"/>
        <w:rPr>
          <w:lang w:val="bg-BG"/>
        </w:rPr>
      </w:pPr>
      <w:r w:rsidRPr="007413BB">
        <w:rPr>
          <w:b/>
          <w:lang w:val="bg-BG"/>
        </w:rPr>
        <w:t>Нови пътеки за ПОО за възрастни:</w:t>
      </w:r>
      <w:r w:rsidRPr="007413BB">
        <w:rPr>
          <w:lang w:val="bg-BG"/>
        </w:rPr>
        <w:t xml:space="preserve"> много страни създадоха нови пътеки за ПОО за възрастни, вкл. Хърватска (следдипломна подготовка в университетите, насочена към заетост) и Малта (на ниво след средното), или просто повишиха дела на възрастните обучавани в съществуващите програми за ПОО </w:t>
      </w:r>
      <w:r w:rsidRPr="007413BB">
        <w:rPr>
          <w:lang w:val="ru-RU"/>
        </w:rPr>
        <w:t>(</w:t>
      </w:r>
      <w:r w:rsidRPr="007413BB">
        <w:t>E</w:t>
      </w:r>
      <w:r w:rsidRPr="007413BB">
        <w:rPr>
          <w:lang w:val="bg-BG"/>
        </w:rPr>
        <w:t>стония, Ирландия, Финландия</w:t>
      </w:r>
      <w:r w:rsidRPr="007413BB">
        <w:rPr>
          <w:lang w:val="ru-RU"/>
        </w:rPr>
        <w:t>). Най-често тава се случва като се придава по-голяма тежест на признаването на предишно учене (</w:t>
      </w:r>
      <w:r w:rsidRPr="007413BB">
        <w:rPr>
          <w:lang w:val="bg-BG"/>
        </w:rPr>
        <w:t>във Франция, Финландия, Норвегия</w:t>
      </w:r>
      <w:r w:rsidRPr="007413BB">
        <w:rPr>
          <w:lang w:val="ru-RU"/>
        </w:rPr>
        <w:t xml:space="preserve">) и често е свързано с въвеждане на европейски политики за учене през целия живот. Някои страни очакват нарастваща нужда от преквалификация на пазара на труда, вкл. Литва, където са въведени нови програми за безработни възрастни. Като цяло на лице е тенденция за използване на ПОО за </w:t>
      </w:r>
      <w:r>
        <w:rPr>
          <w:lang w:val="ru-RU"/>
        </w:rPr>
        <w:t>справяне с безработицата, вкл. н</w:t>
      </w:r>
      <w:r w:rsidRPr="007413BB">
        <w:rPr>
          <w:lang w:val="ru-RU"/>
        </w:rPr>
        <w:t xml:space="preserve">ови възможности за възрастни в неравностойно положение и с </w:t>
      </w:r>
      <w:r w:rsidRPr="0074692E">
        <w:rPr>
          <w:lang w:val="ru-RU"/>
        </w:rPr>
        <w:t xml:space="preserve">увреждания (вапр. </w:t>
      </w:r>
      <w:r>
        <w:rPr>
          <w:lang w:val="bg-BG"/>
        </w:rPr>
        <w:t>„</w:t>
      </w:r>
      <w:r w:rsidRPr="0074692E">
        <w:rPr>
          <w:lang w:val="ru-RU"/>
        </w:rPr>
        <w:t>ингегриращо</w:t>
      </w:r>
      <w:r w:rsidRPr="00816496">
        <w:rPr>
          <w:lang w:val="ru-RU"/>
        </w:rPr>
        <w:t xml:space="preserve"> </w:t>
      </w:r>
      <w:r w:rsidRPr="0074692E">
        <w:rPr>
          <w:lang w:val="ru-RU"/>
        </w:rPr>
        <w:t>занаятчийско</w:t>
      </w:r>
      <w:r w:rsidRPr="00816496">
        <w:rPr>
          <w:lang w:val="ru-RU"/>
        </w:rPr>
        <w:t xml:space="preserve"> </w:t>
      </w:r>
      <w:r w:rsidRPr="0074692E">
        <w:rPr>
          <w:lang w:val="ru-RU"/>
        </w:rPr>
        <w:t>обучение</w:t>
      </w:r>
      <w:r>
        <w:rPr>
          <w:lang w:val="bg-BG"/>
        </w:rPr>
        <w:t>”</w:t>
      </w:r>
      <w:r w:rsidRPr="00816496">
        <w:rPr>
          <w:lang w:val="ru-RU"/>
        </w:rPr>
        <w:t xml:space="preserve"> </w:t>
      </w:r>
      <w:r w:rsidRPr="0074692E">
        <w:rPr>
          <w:lang w:val="ru-RU"/>
        </w:rPr>
        <w:t>в</w:t>
      </w:r>
      <w:r w:rsidRPr="00816496">
        <w:rPr>
          <w:lang w:val="ru-RU"/>
        </w:rPr>
        <w:t xml:space="preserve"> </w:t>
      </w:r>
      <w:r w:rsidRPr="0074692E">
        <w:rPr>
          <w:lang w:val="ru-RU"/>
        </w:rPr>
        <w:t>Австрия</w:t>
      </w:r>
      <w:r w:rsidRPr="00816496">
        <w:rPr>
          <w:lang w:val="ru-RU"/>
        </w:rPr>
        <w:t>).</w:t>
      </w:r>
    </w:p>
    <w:p w:rsidR="00064FDA" w:rsidRDefault="00064FDA" w:rsidP="00D225D8">
      <w:pPr>
        <w:spacing w:before="100" w:beforeAutospacing="1" w:after="100" w:afterAutospacing="1" w:line="360" w:lineRule="auto"/>
        <w:ind w:left="360"/>
        <w:jc w:val="both"/>
        <w:rPr>
          <w:lang w:val="bg-BG"/>
        </w:rPr>
      </w:pPr>
    </w:p>
    <w:p w:rsidR="00064FDA" w:rsidRPr="00B64F5C" w:rsidRDefault="00064FDA" w:rsidP="00D225D8">
      <w:pPr>
        <w:numPr>
          <w:ilvl w:val="0"/>
          <w:numId w:val="7"/>
        </w:numPr>
        <w:spacing w:before="100" w:beforeAutospacing="1" w:after="100" w:afterAutospacing="1" w:line="360" w:lineRule="auto"/>
        <w:jc w:val="both"/>
        <w:rPr>
          <w:sz w:val="16"/>
          <w:szCs w:val="16"/>
          <w:lang w:val="bg-BG"/>
        </w:rPr>
      </w:pPr>
      <w:r>
        <w:rPr>
          <w:sz w:val="16"/>
          <w:szCs w:val="16"/>
          <w:lang w:val="bg-BG"/>
        </w:rPr>
        <w:t>като „Майстор” или „Техник”</w:t>
      </w:r>
    </w:p>
    <w:p w:rsidR="00064FDA" w:rsidRPr="007413BB" w:rsidRDefault="00064FDA" w:rsidP="00562021">
      <w:pPr>
        <w:numPr>
          <w:ilvl w:val="0"/>
          <w:numId w:val="2"/>
        </w:numPr>
        <w:spacing w:before="100" w:beforeAutospacing="1" w:after="100" w:afterAutospacing="1" w:line="360" w:lineRule="auto"/>
        <w:jc w:val="both"/>
        <w:rPr>
          <w:lang w:val="ru-RU"/>
        </w:rPr>
      </w:pPr>
      <w:r w:rsidRPr="007413BB">
        <w:rPr>
          <w:b/>
          <w:bCs/>
          <w:lang w:val="bg-BG"/>
        </w:rPr>
        <w:t xml:space="preserve">Леко подобрение на </w:t>
      </w:r>
      <w:r w:rsidRPr="007413BB">
        <w:rPr>
          <w:b/>
          <w:lang w:val="ru-RU"/>
        </w:rPr>
        <w:t xml:space="preserve">равенството </w:t>
      </w:r>
      <w:r>
        <w:rPr>
          <w:b/>
          <w:lang w:val="ru-RU"/>
        </w:rPr>
        <w:t>при оценяване</w:t>
      </w:r>
      <w:r w:rsidRPr="007413BB">
        <w:rPr>
          <w:b/>
          <w:lang w:val="bg-BG"/>
        </w:rPr>
        <w:t>:</w:t>
      </w:r>
      <w:r w:rsidRPr="007413BB">
        <w:rPr>
          <w:lang w:val="bg-BG"/>
        </w:rPr>
        <w:t xml:space="preserve"> независимо от усилието за разширяване, имиджът на ПОО остава слаб. Страните с традиционно доминираща позиция на общото образование се опитаха да повишат сравнително ниската репутация на ПОО, докато страните с добре установено дуално ПОО положиха усилия да спрат понижаването на самочувствието му </w:t>
      </w:r>
      <w:r w:rsidRPr="007413BB">
        <w:rPr>
          <w:lang w:val="ru-RU"/>
        </w:rPr>
        <w:t>(Дания, Австрия). В Испания, в която имиджът на ПОО се подобрява, е от малкото изключения. Най-яркият положителен пример е Финландия, в която приемът в ПОО стабилно се повишава през последните 10 години.</w:t>
      </w:r>
    </w:p>
    <w:p w:rsidR="00064FDA" w:rsidRPr="007413BB" w:rsidRDefault="00064FDA" w:rsidP="00562021">
      <w:pPr>
        <w:numPr>
          <w:ilvl w:val="0"/>
          <w:numId w:val="3"/>
        </w:numPr>
        <w:spacing w:before="100" w:beforeAutospacing="1" w:after="100" w:afterAutospacing="1" w:line="360" w:lineRule="auto"/>
        <w:jc w:val="both"/>
        <w:rPr>
          <w:lang w:val="ru-RU"/>
        </w:rPr>
      </w:pPr>
      <w:r w:rsidRPr="007413BB">
        <w:rPr>
          <w:b/>
          <w:bCs/>
          <w:lang w:val="bg-BG"/>
        </w:rPr>
        <w:t>Нарастваща значимост на резултатите от учене</w:t>
      </w:r>
      <w:r w:rsidRPr="007413BB">
        <w:rPr>
          <w:lang w:val="ru-RU"/>
        </w:rPr>
        <w:t>:</w:t>
      </w:r>
      <w:r w:rsidRPr="007413BB">
        <w:rPr>
          <w:lang w:val="bg-BG"/>
        </w:rPr>
        <w:t xml:space="preserve"> почти всички страни дефинират и описват квалификациите си чрез използване на резултати от ученето, но все още се различават по отношение на съдържанието и профила на квалификациите </w:t>
      </w:r>
      <w:r w:rsidRPr="007413BB">
        <w:rPr>
          <w:lang w:val="ru-RU"/>
        </w:rPr>
        <w:t>(</w:t>
      </w:r>
      <w:hyperlink r:id="rId7" w:anchor="footnote-0002" w:history="1">
        <w:r w:rsidRPr="007413BB">
          <w:rPr>
            <w:u w:val="single"/>
            <w:vertAlign w:val="superscript"/>
            <w:lang w:val="ru-RU"/>
          </w:rPr>
          <w:t>2</w:t>
        </w:r>
      </w:hyperlink>
      <w:r w:rsidRPr="007413BB">
        <w:rPr>
          <w:lang w:val="ru-RU"/>
        </w:rPr>
        <w:t>). В някои страни броят на квалификациите беше намален, тенденция, която потенциално намалява спецификата на резултатите от учене (Норвегия, Обединеното кралство-Англия). В други страни точно обратното – наблюдава се повишаване степента на детайлност и специфичност. Доколкото това може да доведе до сближаване между страните (общите програми стават по-специфични, докато специфичните за професията се разширяват), тава може да се интерпретира като нарастващ плурализъм в ПОО (съвместност и нарастващо разнообразие на специфични и общи програми).</w:t>
      </w:r>
    </w:p>
    <w:p w:rsidR="00064FDA" w:rsidRDefault="00064FDA" w:rsidP="00B64F5C">
      <w:pPr>
        <w:spacing w:before="100" w:beforeAutospacing="1" w:after="100" w:afterAutospacing="1" w:line="360" w:lineRule="auto"/>
        <w:jc w:val="both"/>
        <w:rPr>
          <w:lang w:val="bg-BG"/>
        </w:rPr>
      </w:pPr>
      <w:r w:rsidRPr="007413BB">
        <w:rPr>
          <w:lang w:val="bg-BG"/>
        </w:rPr>
        <w:t xml:space="preserve">Тези тенденции, които се появиха през последните две десетилетия, могат да бъдат обобщени като разширяване и диверсификация на ПОО от една страна и засилване или интензификация на ПОО от друга. Засилваненето на ПОО в страните чрез нарастващото обучение чрез работа, илюстрирано от Дания, Германия и Австрия, често се разширява до „нови” части на системата за образование и обучение, особено </w:t>
      </w:r>
      <w:r>
        <w:rPr>
          <w:lang w:val="bg-BG"/>
        </w:rPr>
        <w:t xml:space="preserve">към </w:t>
      </w:r>
      <w:r w:rsidRPr="007413BB">
        <w:rPr>
          <w:lang w:val="bg-BG"/>
        </w:rPr>
        <w:t>висшето образование. Диверсификацията на ПОО сочи, че то е част от ученето през целия живот, както това е в Франция и Финландия.</w:t>
      </w:r>
    </w:p>
    <w:p w:rsidR="00064FDA" w:rsidRPr="00B64F5C" w:rsidRDefault="00064FDA" w:rsidP="00B64F5C">
      <w:pPr>
        <w:spacing w:before="100" w:beforeAutospacing="1" w:after="100" w:afterAutospacing="1" w:line="360" w:lineRule="auto"/>
        <w:jc w:val="both"/>
        <w:rPr>
          <w:lang w:val="ru-RU"/>
        </w:rPr>
      </w:pPr>
    </w:p>
    <w:p w:rsidR="00064FDA" w:rsidRPr="00696E39" w:rsidRDefault="00064FDA" w:rsidP="005F2C90">
      <w:pPr>
        <w:spacing w:before="100" w:beforeAutospacing="1" w:after="100" w:afterAutospacing="1" w:line="360" w:lineRule="auto"/>
        <w:jc w:val="both"/>
        <w:rPr>
          <w:sz w:val="16"/>
          <w:szCs w:val="16"/>
          <w:lang w:val="ru-RU"/>
        </w:rPr>
      </w:pPr>
      <w:r w:rsidRPr="005F2C90">
        <w:rPr>
          <w:lang w:val="bg-BG"/>
        </w:rPr>
        <w:t>(</w:t>
      </w:r>
      <w:hyperlink r:id="rId8" w:anchor="footnote-0002" w:history="1">
        <w:r w:rsidRPr="005F2C90">
          <w:rPr>
            <w:u w:val="single"/>
            <w:vertAlign w:val="superscript"/>
            <w:lang w:val="bg-BG"/>
          </w:rPr>
          <w:t>2</w:t>
        </w:r>
      </w:hyperlink>
      <w:r w:rsidRPr="005F2C90">
        <w:rPr>
          <w:lang w:val="bg-BG"/>
        </w:rPr>
        <w:t>)</w:t>
      </w:r>
      <w:r>
        <w:rPr>
          <w:lang w:val="bg-BG"/>
        </w:rPr>
        <w:t xml:space="preserve"> </w:t>
      </w:r>
      <w:r w:rsidRPr="00696E39">
        <w:rPr>
          <w:sz w:val="16"/>
          <w:szCs w:val="16"/>
          <w:lang w:val="bg-BG"/>
        </w:rPr>
        <w:t>Между 2015 и 2017</w:t>
      </w:r>
      <w:r>
        <w:rPr>
          <w:sz w:val="16"/>
          <w:szCs w:val="16"/>
          <w:lang w:val="bg-BG"/>
        </w:rPr>
        <w:t xml:space="preserve"> г. </w:t>
      </w:r>
      <w:r w:rsidRPr="00696E39">
        <w:rPr>
          <w:sz w:val="16"/>
          <w:szCs w:val="16"/>
        </w:rPr>
        <w:t>Cedefop</w:t>
      </w:r>
      <w:r w:rsidRPr="00696E39">
        <w:rPr>
          <w:sz w:val="16"/>
          <w:szCs w:val="16"/>
          <w:lang w:val="bg-BG"/>
        </w:rPr>
        <w:t xml:space="preserve"> проведе сравнителен анализ на 10 професионални квалификации в 10 Европейски страни (</w:t>
      </w:r>
      <w:r w:rsidRPr="00696E39">
        <w:rPr>
          <w:sz w:val="16"/>
          <w:szCs w:val="16"/>
        </w:rPr>
        <w:t>Cedefop</w:t>
      </w:r>
      <w:r w:rsidRPr="00696E39">
        <w:rPr>
          <w:sz w:val="16"/>
          <w:szCs w:val="16"/>
          <w:lang w:val="bg-BG"/>
        </w:rPr>
        <w:t xml:space="preserve">, </w:t>
      </w:r>
      <w:r w:rsidRPr="00696E39">
        <w:rPr>
          <w:sz w:val="16"/>
          <w:szCs w:val="16"/>
        </w:rPr>
        <w:t>Comparing</w:t>
      </w:r>
      <w:r w:rsidRPr="00696E39">
        <w:rPr>
          <w:sz w:val="16"/>
          <w:szCs w:val="16"/>
          <w:lang w:val="bg-BG"/>
        </w:rPr>
        <w:t xml:space="preserve"> </w:t>
      </w:r>
      <w:r w:rsidRPr="00696E39">
        <w:rPr>
          <w:sz w:val="16"/>
          <w:szCs w:val="16"/>
        </w:rPr>
        <w:t>VET</w:t>
      </w:r>
      <w:r w:rsidRPr="00696E39">
        <w:rPr>
          <w:sz w:val="16"/>
          <w:szCs w:val="16"/>
          <w:lang w:val="bg-BG"/>
        </w:rPr>
        <w:t xml:space="preserve"> </w:t>
      </w:r>
      <w:r w:rsidRPr="00696E39">
        <w:rPr>
          <w:sz w:val="16"/>
          <w:szCs w:val="16"/>
        </w:rPr>
        <w:t>qualifications</w:t>
      </w:r>
      <w:r w:rsidRPr="00696E39">
        <w:rPr>
          <w:sz w:val="16"/>
          <w:szCs w:val="16"/>
          <w:lang w:val="bg-BG"/>
        </w:rPr>
        <w:t xml:space="preserve"> [</w:t>
      </w:r>
      <w:r w:rsidRPr="00696E39">
        <w:rPr>
          <w:sz w:val="16"/>
          <w:szCs w:val="16"/>
        </w:rPr>
        <w:t>forthcoming</w:t>
      </w:r>
      <w:r w:rsidRPr="00696E39">
        <w:rPr>
          <w:sz w:val="16"/>
          <w:szCs w:val="16"/>
          <w:lang w:val="bg-BG"/>
        </w:rPr>
        <w:t>])</w:t>
      </w:r>
      <w:r>
        <w:rPr>
          <w:sz w:val="16"/>
          <w:szCs w:val="16"/>
          <w:lang w:val="bg-BG"/>
        </w:rPr>
        <w:t>,</w:t>
      </w:r>
      <w:r w:rsidRPr="00696E39">
        <w:rPr>
          <w:sz w:val="16"/>
          <w:szCs w:val="16"/>
          <w:lang w:val="bg-BG"/>
        </w:rPr>
        <w:t xml:space="preserve"> които потвърдиха това разнообразие. За четири от квалификациите беше проведено сравнение със страни извън Европа, като общият брой на страните беше</w:t>
      </w:r>
      <w:r w:rsidRPr="00696E39">
        <w:rPr>
          <w:sz w:val="16"/>
          <w:szCs w:val="16"/>
          <w:lang w:val="ru-RU"/>
        </w:rPr>
        <w:t xml:space="preserve"> 26. Резюме на </w:t>
      </w:r>
      <w:r w:rsidRPr="00696E39">
        <w:rPr>
          <w:sz w:val="16"/>
          <w:szCs w:val="16"/>
          <w:lang w:val="bg-BG"/>
        </w:rPr>
        <w:t xml:space="preserve">това изследване може да се намери в: </w:t>
      </w:r>
      <w:r w:rsidRPr="00696E39">
        <w:rPr>
          <w:sz w:val="16"/>
          <w:szCs w:val="16"/>
          <w:lang w:val="ru-RU"/>
        </w:rPr>
        <w:t xml:space="preserve"> </w:t>
      </w:r>
      <w:r w:rsidRPr="00696E39">
        <w:rPr>
          <w:sz w:val="16"/>
          <w:szCs w:val="16"/>
        </w:rPr>
        <w:t>Bjornavold</w:t>
      </w:r>
      <w:r w:rsidRPr="00696E39">
        <w:rPr>
          <w:sz w:val="16"/>
          <w:szCs w:val="16"/>
          <w:lang w:val="ru-RU"/>
        </w:rPr>
        <w:t xml:space="preserve">, </w:t>
      </w:r>
      <w:r w:rsidRPr="00696E39">
        <w:rPr>
          <w:sz w:val="16"/>
          <w:szCs w:val="16"/>
        </w:rPr>
        <w:t>J</w:t>
      </w:r>
      <w:r w:rsidRPr="00696E39">
        <w:rPr>
          <w:sz w:val="16"/>
          <w:szCs w:val="16"/>
          <w:lang w:val="ru-RU"/>
        </w:rPr>
        <w:t xml:space="preserve">.; </w:t>
      </w:r>
      <w:r w:rsidRPr="00696E39">
        <w:rPr>
          <w:sz w:val="16"/>
          <w:szCs w:val="16"/>
        </w:rPr>
        <w:t>Chakroune</w:t>
      </w:r>
      <w:r w:rsidRPr="00696E39">
        <w:rPr>
          <w:sz w:val="16"/>
          <w:szCs w:val="16"/>
          <w:lang w:val="ru-RU"/>
        </w:rPr>
        <w:t xml:space="preserve">, </w:t>
      </w:r>
      <w:r w:rsidRPr="00696E39">
        <w:rPr>
          <w:sz w:val="16"/>
          <w:szCs w:val="16"/>
        </w:rPr>
        <w:t>B</w:t>
      </w:r>
      <w:r w:rsidRPr="00696E39">
        <w:rPr>
          <w:sz w:val="16"/>
          <w:szCs w:val="16"/>
          <w:lang w:val="ru-RU"/>
        </w:rPr>
        <w:t>. (2017). Използване на резултати от учене за сравняване на профера на професионални квалификации: глобален подход. В:</w:t>
      </w:r>
      <w:r w:rsidRPr="00696E39">
        <w:rPr>
          <w:sz w:val="16"/>
          <w:szCs w:val="16"/>
          <w:lang w:val="bg-BG"/>
        </w:rPr>
        <w:t xml:space="preserve"> </w:t>
      </w:r>
      <w:r w:rsidRPr="00696E39">
        <w:rPr>
          <w:sz w:val="16"/>
          <w:szCs w:val="16"/>
        </w:rPr>
        <w:t>Cedefop</w:t>
      </w:r>
      <w:r w:rsidRPr="00696E39">
        <w:rPr>
          <w:sz w:val="16"/>
          <w:szCs w:val="16"/>
          <w:lang w:val="ru-RU"/>
        </w:rPr>
        <w:t xml:space="preserve">, </w:t>
      </w:r>
      <w:r w:rsidRPr="00696E39">
        <w:rPr>
          <w:sz w:val="16"/>
          <w:szCs w:val="16"/>
        </w:rPr>
        <w:t>ETF</w:t>
      </w:r>
      <w:r w:rsidRPr="00696E39">
        <w:rPr>
          <w:sz w:val="16"/>
          <w:szCs w:val="16"/>
          <w:lang w:val="ru-RU"/>
        </w:rPr>
        <w:t xml:space="preserve"> </w:t>
      </w:r>
      <w:r w:rsidRPr="00696E39">
        <w:rPr>
          <w:sz w:val="16"/>
          <w:szCs w:val="16"/>
        </w:rPr>
        <w:t>and</w:t>
      </w:r>
      <w:r w:rsidRPr="00696E39">
        <w:rPr>
          <w:sz w:val="16"/>
          <w:szCs w:val="16"/>
          <w:lang w:val="ru-RU"/>
        </w:rPr>
        <w:t xml:space="preserve"> </w:t>
      </w:r>
      <w:r w:rsidRPr="00696E39">
        <w:rPr>
          <w:sz w:val="16"/>
          <w:szCs w:val="16"/>
        </w:rPr>
        <w:t>UNESCO</w:t>
      </w:r>
      <w:r w:rsidRPr="00696E39">
        <w:rPr>
          <w:sz w:val="16"/>
          <w:szCs w:val="16"/>
          <w:lang w:val="ru-RU"/>
        </w:rPr>
        <w:t xml:space="preserve"> (</w:t>
      </w:r>
      <w:r w:rsidRPr="00696E39">
        <w:rPr>
          <w:sz w:val="16"/>
          <w:szCs w:val="16"/>
        </w:rPr>
        <w:t>eds</w:t>
      </w:r>
      <w:r w:rsidRPr="00696E39">
        <w:rPr>
          <w:sz w:val="16"/>
          <w:szCs w:val="16"/>
          <w:lang w:val="ru-RU"/>
        </w:rPr>
        <w:t xml:space="preserve">). </w:t>
      </w:r>
      <w:r w:rsidRPr="00696E39">
        <w:rPr>
          <w:sz w:val="16"/>
          <w:szCs w:val="16"/>
          <w:lang w:val="bg-BG"/>
        </w:rPr>
        <w:t>Глобален преглед на регионални и национални квалификационни рамки,</w:t>
      </w:r>
      <w:r w:rsidRPr="00696E39">
        <w:rPr>
          <w:sz w:val="16"/>
          <w:szCs w:val="16"/>
          <w:lang w:val="ru-RU"/>
        </w:rPr>
        <w:t xml:space="preserve"> </w:t>
      </w:r>
      <w:r w:rsidRPr="00696E39">
        <w:rPr>
          <w:sz w:val="16"/>
          <w:szCs w:val="16"/>
        </w:rPr>
        <w:t>Volume</w:t>
      </w:r>
      <w:r w:rsidRPr="00696E39">
        <w:rPr>
          <w:sz w:val="16"/>
          <w:szCs w:val="16"/>
          <w:lang w:val="ru-RU"/>
        </w:rPr>
        <w:t xml:space="preserve"> </w:t>
      </w:r>
      <w:r w:rsidRPr="00696E39">
        <w:rPr>
          <w:sz w:val="16"/>
          <w:szCs w:val="16"/>
        </w:rPr>
        <w:t>I</w:t>
      </w:r>
      <w:r w:rsidRPr="00696E39">
        <w:rPr>
          <w:sz w:val="16"/>
          <w:szCs w:val="16"/>
          <w:lang w:val="ru-RU"/>
        </w:rPr>
        <w:t xml:space="preserve">: </w:t>
      </w:r>
      <w:r w:rsidRPr="00696E39">
        <w:rPr>
          <w:sz w:val="16"/>
          <w:szCs w:val="16"/>
          <w:lang w:val="bg-BG"/>
        </w:rPr>
        <w:t>тематични глави</w:t>
      </w:r>
      <w:r w:rsidRPr="00696E39">
        <w:rPr>
          <w:sz w:val="16"/>
          <w:szCs w:val="16"/>
          <w:lang w:val="ru-RU"/>
        </w:rPr>
        <w:t>.</w:t>
      </w:r>
    </w:p>
    <w:p w:rsidR="00064FDA" w:rsidRPr="00B64F5C" w:rsidRDefault="00064FDA" w:rsidP="002570DA">
      <w:pPr>
        <w:rPr>
          <w:b/>
          <w:color w:val="0000FF"/>
          <w:sz w:val="28"/>
          <w:szCs w:val="28"/>
          <w:lang w:val="bg-BG"/>
        </w:rPr>
      </w:pPr>
      <w:r w:rsidRPr="00B64F5C">
        <w:rPr>
          <w:b/>
          <w:color w:val="0000FF"/>
          <w:sz w:val="28"/>
          <w:szCs w:val="28"/>
          <w:lang w:val="bg-BG"/>
        </w:rPr>
        <w:t>Предстоящи предизвикателства</w:t>
      </w:r>
    </w:p>
    <w:p w:rsidR="00064FDA" w:rsidRPr="007413BB" w:rsidRDefault="00064FDA" w:rsidP="00562021">
      <w:pPr>
        <w:pStyle w:val="NormalWeb"/>
        <w:spacing w:before="0" w:beforeAutospacing="0" w:after="163" w:afterAutospacing="0" w:line="360" w:lineRule="auto"/>
        <w:jc w:val="both"/>
        <w:rPr>
          <w:rFonts w:ascii="Calibri" w:hAnsi="Calibri" w:cs="Calibri"/>
          <w:sz w:val="22"/>
          <w:szCs w:val="22"/>
          <w:lang w:val="bg-BG"/>
        </w:rPr>
      </w:pPr>
      <w:r w:rsidRPr="007413BB">
        <w:rPr>
          <w:rFonts w:ascii="Calibri" w:hAnsi="Calibri" w:cs="Calibri"/>
          <w:sz w:val="22"/>
          <w:szCs w:val="22"/>
          <w:lang w:val="bg-BG"/>
        </w:rPr>
        <w:t>Предвид разширяването и диверсификацията на ПОО, вкл. включване на нови доставчици, нови нива и ново съдържание, има основание да вярваме, че европейското ПОО ще стане дори още по-разнообразно и плуралистично. Това може да бъде позитив, в смисъл на по-</w:t>
      </w:r>
      <w:r>
        <w:rPr>
          <w:rFonts w:ascii="Calibri" w:hAnsi="Calibri" w:cs="Calibri"/>
          <w:sz w:val="22"/>
          <w:szCs w:val="22"/>
          <w:lang w:val="bg-BG"/>
        </w:rPr>
        <w:t>целе</w:t>
      </w:r>
      <w:r w:rsidRPr="007413BB">
        <w:rPr>
          <w:rFonts w:ascii="Calibri" w:hAnsi="Calibri" w:cs="Calibri"/>
          <w:sz w:val="22"/>
          <w:szCs w:val="22"/>
          <w:lang w:val="bg-BG"/>
        </w:rPr>
        <w:t>насоч</w:t>
      </w:r>
      <w:r>
        <w:rPr>
          <w:rFonts w:ascii="Calibri" w:hAnsi="Calibri" w:cs="Calibri"/>
          <w:sz w:val="22"/>
          <w:szCs w:val="22"/>
          <w:lang w:val="bg-BG"/>
        </w:rPr>
        <w:t>ено</w:t>
      </w:r>
      <w:r w:rsidRPr="007413BB">
        <w:rPr>
          <w:rFonts w:ascii="Calibri" w:hAnsi="Calibri" w:cs="Calibri"/>
          <w:sz w:val="22"/>
          <w:szCs w:val="22"/>
          <w:lang w:val="bg-BG"/>
        </w:rPr>
        <w:t xml:space="preserve"> и съответстващо, или негатив, в смисъл на нарастващо фрагментиране и поляризация </w:t>
      </w:r>
      <w:r w:rsidRPr="007413BB">
        <w:rPr>
          <w:rFonts w:ascii="Calibri" w:hAnsi="Calibri" w:cs="Calibri"/>
          <w:sz w:val="22"/>
          <w:szCs w:val="22"/>
          <w:lang w:val="ru-RU"/>
        </w:rPr>
        <w:t>(</w:t>
      </w:r>
      <w:hyperlink r:id="rId9" w:anchor="footnote-0003" w:history="1">
        <w:r w:rsidRPr="007413BB">
          <w:rPr>
            <w:rStyle w:val="Hyperlink"/>
            <w:rFonts w:ascii="Calibri" w:hAnsi="Calibri" w:cs="Calibri"/>
            <w:color w:val="auto"/>
            <w:sz w:val="22"/>
            <w:szCs w:val="22"/>
            <w:vertAlign w:val="superscript"/>
            <w:lang w:val="ru-RU"/>
          </w:rPr>
          <w:t>3</w:t>
        </w:r>
      </w:hyperlink>
      <w:r w:rsidRPr="007413BB">
        <w:rPr>
          <w:rFonts w:ascii="Calibri" w:hAnsi="Calibri" w:cs="Calibri"/>
          <w:sz w:val="22"/>
          <w:szCs w:val="22"/>
          <w:lang w:val="ru-RU"/>
        </w:rPr>
        <w:t>)</w:t>
      </w:r>
      <w:r w:rsidRPr="007413BB">
        <w:rPr>
          <w:rFonts w:ascii="Calibri" w:hAnsi="Calibri" w:cs="Calibri"/>
          <w:sz w:val="22"/>
          <w:szCs w:val="22"/>
          <w:lang w:val="bg-BG"/>
        </w:rPr>
        <w:t>.</w:t>
      </w:r>
    </w:p>
    <w:p w:rsidR="00064FDA" w:rsidRPr="007413BB" w:rsidRDefault="00064FDA" w:rsidP="00562021">
      <w:pPr>
        <w:pStyle w:val="NormalWeb"/>
        <w:spacing w:before="0" w:beforeAutospacing="0" w:after="163" w:afterAutospacing="0" w:line="360" w:lineRule="auto"/>
        <w:jc w:val="both"/>
        <w:rPr>
          <w:rFonts w:ascii="Calibri" w:hAnsi="Calibri" w:cs="Calibri"/>
          <w:sz w:val="22"/>
          <w:szCs w:val="22"/>
          <w:lang w:val="bg-BG"/>
        </w:rPr>
      </w:pPr>
      <w:r w:rsidRPr="007413BB">
        <w:rPr>
          <w:rFonts w:ascii="Calibri" w:hAnsi="Calibri" w:cs="Calibri"/>
          <w:sz w:val="22"/>
          <w:szCs w:val="22"/>
          <w:lang w:val="bg-BG"/>
        </w:rPr>
        <w:t xml:space="preserve">Изследването на </w:t>
      </w:r>
      <w:r w:rsidRPr="007413BB">
        <w:rPr>
          <w:rFonts w:ascii="Calibri" w:hAnsi="Calibri" w:cs="Calibri"/>
          <w:sz w:val="22"/>
          <w:szCs w:val="22"/>
        </w:rPr>
        <w:t>Cedefop</w:t>
      </w:r>
      <w:r w:rsidRPr="007413BB">
        <w:rPr>
          <w:rFonts w:ascii="Calibri" w:hAnsi="Calibri" w:cs="Calibri"/>
          <w:sz w:val="22"/>
          <w:szCs w:val="22"/>
          <w:lang w:val="bg-BG"/>
        </w:rPr>
        <w:t xml:space="preserve"> разкрива някои предизвикателства, които е необходимо да бъдат разгледани в рамките на бъдещото европейско сътрудничество в ПОО:</w:t>
      </w:r>
    </w:p>
    <w:p w:rsidR="00064FDA" w:rsidRPr="007413BB" w:rsidRDefault="00064FDA" w:rsidP="00562021">
      <w:pPr>
        <w:numPr>
          <w:ilvl w:val="0"/>
          <w:numId w:val="4"/>
        </w:numPr>
        <w:spacing w:before="100" w:beforeAutospacing="1" w:after="100" w:afterAutospacing="1" w:line="360" w:lineRule="auto"/>
        <w:jc w:val="both"/>
        <w:rPr>
          <w:lang w:val="ru-RU"/>
        </w:rPr>
      </w:pPr>
      <w:r w:rsidRPr="007413BB">
        <w:rPr>
          <w:lang w:val="bg-BG"/>
        </w:rPr>
        <w:t xml:space="preserve">традиционното разграничаване на подсекторите на образованието и обучението </w:t>
      </w:r>
      <w:r w:rsidRPr="007413BB">
        <w:rPr>
          <w:lang w:val="ru-RU"/>
        </w:rPr>
        <w:t>(</w:t>
      </w:r>
      <w:r w:rsidRPr="007413BB">
        <w:rPr>
          <w:lang w:val="bg-BG"/>
        </w:rPr>
        <w:t>общо, професионално и висше образование, както и начално и продължаващо ПОО</w:t>
      </w:r>
      <w:r w:rsidRPr="007413BB">
        <w:rPr>
          <w:lang w:val="ru-RU"/>
        </w:rPr>
        <w:t>) не винаги е практично, когато става въпрос за идентифициране и посрещане на нови предизвикателства;</w:t>
      </w:r>
    </w:p>
    <w:p w:rsidR="00064FDA" w:rsidRPr="007413BB" w:rsidRDefault="00064FDA" w:rsidP="00562021">
      <w:pPr>
        <w:numPr>
          <w:ilvl w:val="0"/>
          <w:numId w:val="4"/>
        </w:numPr>
        <w:spacing w:before="100" w:beforeAutospacing="1" w:after="100" w:afterAutospacing="1" w:line="360" w:lineRule="auto"/>
        <w:jc w:val="both"/>
        <w:rPr>
          <w:lang w:val="ru-RU"/>
        </w:rPr>
      </w:pPr>
      <w:r w:rsidRPr="007413BB">
        <w:rPr>
          <w:lang w:val="bg-BG"/>
        </w:rPr>
        <w:t>действайки на базата на прекалено тясна дефиниция за ПОО, формиращите политики рискуват да пропуснат нуждата от професионално ориентирано образование извън традиционния сектор на ПОО, напр. във висшето образование. Бъдещото политическо сътрудничество би трябвало да се фокусира върху върху това как системите за образование и обучение като цяло биха могли да повишат и подкрепят  практически ориентираните и свързани с работа обучителни формати, типични за ПОО. За постигането на това доставчиците на образование и обучение на всички нива имат нужда от засилване на диалога и сътрудничеството с актьорите на пазара на труда и обществото като цяло.</w:t>
      </w:r>
    </w:p>
    <w:p w:rsidR="00064FDA" w:rsidRPr="00734D23" w:rsidRDefault="00064FDA" w:rsidP="00734D23">
      <w:pPr>
        <w:numPr>
          <w:ilvl w:val="0"/>
          <w:numId w:val="4"/>
        </w:numPr>
        <w:spacing w:before="100" w:beforeAutospacing="1" w:after="100" w:afterAutospacing="1" w:line="360" w:lineRule="auto"/>
        <w:jc w:val="both"/>
        <w:rPr>
          <w:lang w:val="ru-RU"/>
        </w:rPr>
      </w:pPr>
      <w:r w:rsidRPr="007413BB">
        <w:rPr>
          <w:lang w:val="bg-BG"/>
        </w:rPr>
        <w:t>бъдещото развитие на ПОО може да изисква решения, обхващащи няколко подсектора и включващи институции и доставчици, които досега са действали самостоятелно.</w:t>
      </w:r>
      <w:bookmarkStart w:id="0" w:name="_GoBack"/>
      <w:bookmarkEnd w:id="0"/>
      <w:r w:rsidRPr="007413BB">
        <w:rPr>
          <w:lang w:val="bg-BG"/>
        </w:rPr>
        <w:t xml:space="preserve"> Доколкото разширяването на професионално ориентираното образование и обучение изглежда невъзможно да бъде спряно, може да се получи фрагментиране и загуба на прозрачност, което ще затрудни използването на ПОО от групите в риск. Затова е решаващо използването напр. на ЕКР за повишаване на прозрачността и проходимостта на системите за образование и обучение. </w:t>
      </w:r>
    </w:p>
    <w:p w:rsidR="00064FDA" w:rsidRPr="00734D23" w:rsidRDefault="00064FDA" w:rsidP="00734D23">
      <w:pPr>
        <w:spacing w:before="100" w:beforeAutospacing="1" w:after="100" w:afterAutospacing="1" w:line="360" w:lineRule="auto"/>
        <w:ind w:left="360"/>
        <w:jc w:val="both"/>
        <w:rPr>
          <w:lang w:val="ru-RU"/>
        </w:rPr>
      </w:pPr>
    </w:p>
    <w:p w:rsidR="00064FDA" w:rsidRPr="00A50FAB" w:rsidRDefault="00064FDA" w:rsidP="00696E39">
      <w:pPr>
        <w:spacing w:before="100" w:beforeAutospacing="1" w:after="100" w:afterAutospacing="1" w:line="360" w:lineRule="auto"/>
        <w:ind w:left="360"/>
        <w:jc w:val="both"/>
        <w:rPr>
          <w:sz w:val="16"/>
          <w:szCs w:val="16"/>
          <w:lang w:val="ru-RU"/>
        </w:rPr>
      </w:pPr>
      <w:r w:rsidRPr="00734D23">
        <w:rPr>
          <w:rFonts w:cs="Calibri"/>
          <w:lang w:val="bg-BG"/>
        </w:rPr>
        <w:t>(</w:t>
      </w:r>
      <w:hyperlink r:id="rId10" w:anchor="footnote-0003" w:history="1">
        <w:r w:rsidRPr="00734D23">
          <w:rPr>
            <w:rStyle w:val="Hyperlink"/>
            <w:rFonts w:cs="Calibri"/>
            <w:color w:val="auto"/>
            <w:vertAlign w:val="superscript"/>
            <w:lang w:val="bg-BG"/>
          </w:rPr>
          <w:t>3</w:t>
        </w:r>
      </w:hyperlink>
      <w:r w:rsidRPr="00734D23">
        <w:rPr>
          <w:rFonts w:cs="Calibri"/>
          <w:lang w:val="bg-BG"/>
        </w:rPr>
        <w:t>)</w:t>
      </w:r>
      <w:r w:rsidRPr="00734D23">
        <w:rPr>
          <w:rFonts w:cs="Calibri"/>
          <w:sz w:val="16"/>
          <w:szCs w:val="16"/>
          <w:lang w:val="bg-BG"/>
        </w:rPr>
        <w:t xml:space="preserve"> Промяната на концепции може не винаги да се преведе като промени на системи и практики. Важно е да се наблюдава колко далече промените в реториката водят до действителна системна промяна. </w:t>
      </w:r>
    </w:p>
    <w:p w:rsidR="00064FDA" w:rsidRDefault="00064FDA" w:rsidP="00562021">
      <w:pPr>
        <w:spacing w:line="360" w:lineRule="auto"/>
        <w:jc w:val="both"/>
        <w:rPr>
          <w:lang w:val="bg-BG"/>
        </w:rPr>
      </w:pPr>
      <w:r w:rsidRPr="007413BB">
        <w:rPr>
          <w:lang w:val="bg-BG"/>
        </w:rPr>
        <w:t>Тези, понякога противоречиви тенденции се очаква да се проявяват по различен начин в различните европейски страни, следователно е важно да се наблюдава дали те ще намалят, или ще акцентират върху съществуващите разлики в Европа. Всички формиращи политики и практици с отношение към ПОО трябва да се ангажират с участие в широка дискусия за най-добро сътрудничество и подходи към ученето за осигуряване на неговото бъдеще, с поглед към ПОО, заетост и социални измерения. Повече от всякога бъдещето на ПОО е неразделно от бъдещето на трудовата дейност.</w:t>
      </w:r>
    </w:p>
    <w:p w:rsidR="00064FDA" w:rsidRPr="00923567" w:rsidRDefault="00064FDA" w:rsidP="00562021">
      <w:pPr>
        <w:spacing w:line="360" w:lineRule="auto"/>
        <w:jc w:val="both"/>
        <w:rPr>
          <w:lang w:val="bg-BG"/>
        </w:rPr>
      </w:pPr>
    </w:p>
    <w:sectPr w:rsidR="00064FDA" w:rsidRPr="00923567" w:rsidSect="00AA5177">
      <w:footerReference w:type="even"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DA" w:rsidRDefault="00064FDA">
      <w:r>
        <w:separator/>
      </w:r>
    </w:p>
  </w:endnote>
  <w:endnote w:type="continuationSeparator" w:id="1">
    <w:p w:rsidR="00064FDA" w:rsidRDefault="0006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DA" w:rsidRDefault="00064FDA" w:rsidP="00646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FDA" w:rsidRDefault="00064FDA" w:rsidP="007413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DA" w:rsidRDefault="00064FDA" w:rsidP="00646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64FDA" w:rsidRDefault="00064FDA" w:rsidP="007413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DA" w:rsidRDefault="00064FDA">
      <w:r>
        <w:separator/>
      </w:r>
    </w:p>
  </w:footnote>
  <w:footnote w:type="continuationSeparator" w:id="1">
    <w:p w:rsidR="00064FDA" w:rsidRDefault="0006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535"/>
    <w:multiLevelType w:val="multilevel"/>
    <w:tmpl w:val="A3E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694"/>
    <w:multiLevelType w:val="multilevel"/>
    <w:tmpl w:val="639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F0F49"/>
    <w:multiLevelType w:val="hybridMultilevel"/>
    <w:tmpl w:val="244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93D1E"/>
    <w:multiLevelType w:val="multilevel"/>
    <w:tmpl w:val="AB1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43A75"/>
    <w:multiLevelType w:val="multilevel"/>
    <w:tmpl w:val="B28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B3C16"/>
    <w:multiLevelType w:val="hybridMultilevel"/>
    <w:tmpl w:val="041E5CFC"/>
    <w:lvl w:ilvl="0" w:tplc="B27E148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5AE84699"/>
    <w:multiLevelType w:val="hybridMultilevel"/>
    <w:tmpl w:val="AAEEEF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1DA"/>
    <w:rsid w:val="00064FDA"/>
    <w:rsid w:val="000A2A2E"/>
    <w:rsid w:val="00102266"/>
    <w:rsid w:val="00114599"/>
    <w:rsid w:val="00115EAE"/>
    <w:rsid w:val="001228D3"/>
    <w:rsid w:val="00131B4E"/>
    <w:rsid w:val="001552A3"/>
    <w:rsid w:val="00180AF5"/>
    <w:rsid w:val="001A363E"/>
    <w:rsid w:val="001C59DB"/>
    <w:rsid w:val="001D7D2D"/>
    <w:rsid w:val="001F2BC1"/>
    <w:rsid w:val="00207CE5"/>
    <w:rsid w:val="00214CE3"/>
    <w:rsid w:val="00215BF1"/>
    <w:rsid w:val="00221841"/>
    <w:rsid w:val="0022395A"/>
    <w:rsid w:val="002264BF"/>
    <w:rsid w:val="00257039"/>
    <w:rsid w:val="002570DA"/>
    <w:rsid w:val="00271BAC"/>
    <w:rsid w:val="002B42E1"/>
    <w:rsid w:val="002D4F4F"/>
    <w:rsid w:val="002E785E"/>
    <w:rsid w:val="002F56D9"/>
    <w:rsid w:val="00334AFE"/>
    <w:rsid w:val="003353BC"/>
    <w:rsid w:val="00377123"/>
    <w:rsid w:val="003A39AE"/>
    <w:rsid w:val="003A3EB4"/>
    <w:rsid w:val="003B2DB7"/>
    <w:rsid w:val="003B4271"/>
    <w:rsid w:val="003F282D"/>
    <w:rsid w:val="00417D67"/>
    <w:rsid w:val="004368CA"/>
    <w:rsid w:val="0044128F"/>
    <w:rsid w:val="00475F7D"/>
    <w:rsid w:val="004765E1"/>
    <w:rsid w:val="004819DD"/>
    <w:rsid w:val="004A4D2F"/>
    <w:rsid w:val="004C6BEE"/>
    <w:rsid w:val="004D2BFD"/>
    <w:rsid w:val="004D57DE"/>
    <w:rsid w:val="004D6ACF"/>
    <w:rsid w:val="004E2907"/>
    <w:rsid w:val="004E357F"/>
    <w:rsid w:val="004E717A"/>
    <w:rsid w:val="004F31E5"/>
    <w:rsid w:val="004F4664"/>
    <w:rsid w:val="0051710E"/>
    <w:rsid w:val="00527FF4"/>
    <w:rsid w:val="00537147"/>
    <w:rsid w:val="00537A51"/>
    <w:rsid w:val="00542174"/>
    <w:rsid w:val="00562021"/>
    <w:rsid w:val="00574D71"/>
    <w:rsid w:val="005A0742"/>
    <w:rsid w:val="005B7C27"/>
    <w:rsid w:val="005D2ED8"/>
    <w:rsid w:val="005E7D13"/>
    <w:rsid w:val="005F2C90"/>
    <w:rsid w:val="0060650F"/>
    <w:rsid w:val="00612413"/>
    <w:rsid w:val="00645CEA"/>
    <w:rsid w:val="0064648D"/>
    <w:rsid w:val="00655D8F"/>
    <w:rsid w:val="00665F68"/>
    <w:rsid w:val="00686351"/>
    <w:rsid w:val="00694E14"/>
    <w:rsid w:val="00696E39"/>
    <w:rsid w:val="006B4301"/>
    <w:rsid w:val="006B6A9A"/>
    <w:rsid w:val="006C1EDF"/>
    <w:rsid w:val="006D4840"/>
    <w:rsid w:val="006E7D26"/>
    <w:rsid w:val="006F61DA"/>
    <w:rsid w:val="00707225"/>
    <w:rsid w:val="0073122F"/>
    <w:rsid w:val="00734D23"/>
    <w:rsid w:val="007413BB"/>
    <w:rsid w:val="0074692E"/>
    <w:rsid w:val="007A4EDF"/>
    <w:rsid w:val="007B0854"/>
    <w:rsid w:val="007C74C2"/>
    <w:rsid w:val="007E249A"/>
    <w:rsid w:val="00816496"/>
    <w:rsid w:val="0082569A"/>
    <w:rsid w:val="0083404A"/>
    <w:rsid w:val="00866455"/>
    <w:rsid w:val="008921F3"/>
    <w:rsid w:val="0089255E"/>
    <w:rsid w:val="00892D3A"/>
    <w:rsid w:val="00894169"/>
    <w:rsid w:val="00894988"/>
    <w:rsid w:val="008A54F6"/>
    <w:rsid w:val="008B2830"/>
    <w:rsid w:val="008B5347"/>
    <w:rsid w:val="00906F7D"/>
    <w:rsid w:val="00923567"/>
    <w:rsid w:val="00933A26"/>
    <w:rsid w:val="00996549"/>
    <w:rsid w:val="00997EFA"/>
    <w:rsid w:val="00A03810"/>
    <w:rsid w:val="00A50FAB"/>
    <w:rsid w:val="00A65FCC"/>
    <w:rsid w:val="00A71F68"/>
    <w:rsid w:val="00AA5177"/>
    <w:rsid w:val="00AD735D"/>
    <w:rsid w:val="00AE6B05"/>
    <w:rsid w:val="00B16874"/>
    <w:rsid w:val="00B21A47"/>
    <w:rsid w:val="00B46C08"/>
    <w:rsid w:val="00B519C3"/>
    <w:rsid w:val="00B55559"/>
    <w:rsid w:val="00B64075"/>
    <w:rsid w:val="00B64F5C"/>
    <w:rsid w:val="00B72099"/>
    <w:rsid w:val="00B7699A"/>
    <w:rsid w:val="00BA0460"/>
    <w:rsid w:val="00BB396E"/>
    <w:rsid w:val="00BB7FED"/>
    <w:rsid w:val="00BE558A"/>
    <w:rsid w:val="00BF3FC1"/>
    <w:rsid w:val="00C10910"/>
    <w:rsid w:val="00C36487"/>
    <w:rsid w:val="00C82D8E"/>
    <w:rsid w:val="00CA1364"/>
    <w:rsid w:val="00CA735D"/>
    <w:rsid w:val="00D225D8"/>
    <w:rsid w:val="00D443FD"/>
    <w:rsid w:val="00DC19F4"/>
    <w:rsid w:val="00DD0111"/>
    <w:rsid w:val="00DE54CA"/>
    <w:rsid w:val="00DF0075"/>
    <w:rsid w:val="00E128B7"/>
    <w:rsid w:val="00E73881"/>
    <w:rsid w:val="00EE4E0F"/>
    <w:rsid w:val="00EE4F00"/>
    <w:rsid w:val="00EF3564"/>
    <w:rsid w:val="00F63B8B"/>
    <w:rsid w:val="00F63D0F"/>
    <w:rsid w:val="00F70D74"/>
    <w:rsid w:val="00FB5126"/>
    <w:rsid w:val="00FD1E91"/>
    <w:rsid w:val="00FE47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77"/>
    <w:pPr>
      <w:spacing w:after="160" w:line="259" w:lineRule="auto"/>
    </w:pPr>
    <w:rPr>
      <w:lang w:val="en-US" w:eastAsia="en-US"/>
    </w:rPr>
  </w:style>
  <w:style w:type="paragraph" w:styleId="Heading2">
    <w:name w:val="heading 2"/>
    <w:basedOn w:val="Normal"/>
    <w:next w:val="Normal"/>
    <w:link w:val="Heading2Char"/>
    <w:uiPriority w:val="99"/>
    <w:qFormat/>
    <w:rsid w:val="003B4271"/>
    <w:pPr>
      <w:keepNext/>
      <w:keepLines/>
      <w:spacing w:before="40" w:after="0"/>
      <w:outlineLvl w:val="1"/>
    </w:pPr>
    <w:rPr>
      <w:rFonts w:ascii="Calibri Light" w:hAnsi="Calibri Light"/>
      <w:color w:val="2E74B5"/>
      <w:sz w:val="26"/>
      <w:szCs w:val="26"/>
      <w:lang w:val="bg-BG" w:eastAsia="bg-BG"/>
    </w:rPr>
  </w:style>
  <w:style w:type="paragraph" w:styleId="Heading4">
    <w:name w:val="heading 4"/>
    <w:basedOn w:val="Normal"/>
    <w:link w:val="Heading4Char"/>
    <w:uiPriority w:val="99"/>
    <w:qFormat/>
    <w:rsid w:val="003B4271"/>
    <w:pPr>
      <w:spacing w:before="100" w:beforeAutospacing="1" w:after="100" w:afterAutospacing="1" w:line="240" w:lineRule="auto"/>
      <w:outlineLvl w:val="3"/>
    </w:pPr>
    <w:rPr>
      <w:rFonts w:ascii="Times New Roman" w:hAnsi="Times New Roman"/>
      <w:b/>
      <w:bCs/>
      <w:sz w:val="24"/>
      <w:szCs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4271"/>
    <w:rPr>
      <w:rFonts w:ascii="Calibri Light" w:hAnsi="Calibri Light" w:cs="Times New Roman"/>
      <w:color w:val="2E74B5"/>
      <w:sz w:val="26"/>
    </w:rPr>
  </w:style>
  <w:style w:type="character" w:customStyle="1" w:styleId="Heading4Char">
    <w:name w:val="Heading 4 Char"/>
    <w:basedOn w:val="DefaultParagraphFont"/>
    <w:link w:val="Heading4"/>
    <w:uiPriority w:val="99"/>
    <w:locked/>
    <w:rsid w:val="003B4271"/>
    <w:rPr>
      <w:rFonts w:ascii="Times New Roman" w:hAnsi="Times New Roman" w:cs="Times New Roman"/>
      <w:b/>
      <w:sz w:val="24"/>
    </w:rPr>
  </w:style>
  <w:style w:type="paragraph" w:customStyle="1" w:styleId="Caption1">
    <w:name w:val="Caption1"/>
    <w:basedOn w:val="Normal"/>
    <w:uiPriority w:val="99"/>
    <w:rsid w:val="003B427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B4271"/>
    <w:rPr>
      <w:rFonts w:cs="Times New Roman"/>
      <w:b/>
    </w:rPr>
  </w:style>
  <w:style w:type="paragraph" w:styleId="NormalWeb">
    <w:name w:val="Normal (Web)"/>
    <w:basedOn w:val="Normal"/>
    <w:uiPriority w:val="99"/>
    <w:semiHidden/>
    <w:rsid w:val="003B427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3B4271"/>
    <w:rPr>
      <w:rFonts w:cs="Times New Roman"/>
      <w:i/>
    </w:rPr>
  </w:style>
  <w:style w:type="paragraph" w:customStyle="1" w:styleId="cedsource">
    <w:name w:val="ced_source"/>
    <w:basedOn w:val="Normal"/>
    <w:uiPriority w:val="99"/>
    <w:rsid w:val="003B42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B4271"/>
    <w:rPr>
      <w:rFonts w:cs="Times New Roman"/>
      <w:color w:val="0000FF"/>
      <w:u w:val="single"/>
    </w:rPr>
  </w:style>
  <w:style w:type="table" w:styleId="TableGrid">
    <w:name w:val="Table Grid"/>
    <w:basedOn w:val="TableNormal"/>
    <w:uiPriority w:val="99"/>
    <w:locked/>
    <w:rsid w:val="005B7C27"/>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BB"/>
    <w:pPr>
      <w:tabs>
        <w:tab w:val="center" w:pos="4536"/>
        <w:tab w:val="right" w:pos="9072"/>
      </w:tabs>
    </w:pPr>
  </w:style>
  <w:style w:type="character" w:customStyle="1" w:styleId="FooterChar">
    <w:name w:val="Footer Char"/>
    <w:basedOn w:val="DefaultParagraphFont"/>
    <w:link w:val="Footer"/>
    <w:uiPriority w:val="99"/>
    <w:semiHidden/>
    <w:locked/>
    <w:rsid w:val="00115EAE"/>
    <w:rPr>
      <w:rFonts w:cs="Times New Roman"/>
      <w:lang w:val="en-US" w:eastAsia="en-US"/>
    </w:rPr>
  </w:style>
  <w:style w:type="character" w:styleId="PageNumber">
    <w:name w:val="page number"/>
    <w:basedOn w:val="DefaultParagraphFont"/>
    <w:uiPriority w:val="99"/>
    <w:rsid w:val="007413BB"/>
    <w:rPr>
      <w:rFonts w:cs="Times New Roman"/>
    </w:rPr>
  </w:style>
</w:styles>
</file>

<file path=word/webSettings.xml><?xml version="1.0" encoding="utf-8"?>
<w:webSettings xmlns:r="http://schemas.openxmlformats.org/officeDocument/2006/relationships" xmlns:w="http://schemas.openxmlformats.org/wordprocessingml/2006/main">
  <w:divs>
    <w:div w:id="1937517604">
      <w:marLeft w:val="0"/>
      <w:marRight w:val="0"/>
      <w:marTop w:val="0"/>
      <w:marBottom w:val="0"/>
      <w:divBdr>
        <w:top w:val="none" w:sz="0" w:space="0" w:color="auto"/>
        <w:left w:val="none" w:sz="0" w:space="0" w:color="auto"/>
        <w:bottom w:val="none" w:sz="0" w:space="0" w:color="auto"/>
        <w:right w:val="none" w:sz="0" w:space="0" w:color="auto"/>
      </w:divBdr>
      <w:divsChild>
        <w:div w:id="1937517611">
          <w:marLeft w:val="0"/>
          <w:marRight w:val="0"/>
          <w:marTop w:val="0"/>
          <w:marBottom w:val="264"/>
          <w:divBdr>
            <w:top w:val="none" w:sz="0" w:space="0" w:color="auto"/>
            <w:left w:val="none" w:sz="0" w:space="0" w:color="auto"/>
            <w:bottom w:val="none" w:sz="0" w:space="0" w:color="auto"/>
            <w:right w:val="none" w:sz="0" w:space="0" w:color="auto"/>
          </w:divBdr>
        </w:div>
      </w:divsChild>
    </w:div>
    <w:div w:id="1937517605">
      <w:marLeft w:val="0"/>
      <w:marRight w:val="0"/>
      <w:marTop w:val="0"/>
      <w:marBottom w:val="0"/>
      <w:divBdr>
        <w:top w:val="none" w:sz="0" w:space="0" w:color="auto"/>
        <w:left w:val="none" w:sz="0" w:space="0" w:color="auto"/>
        <w:bottom w:val="none" w:sz="0" w:space="0" w:color="auto"/>
        <w:right w:val="none" w:sz="0" w:space="0" w:color="auto"/>
      </w:divBdr>
    </w:div>
    <w:div w:id="1937517606">
      <w:marLeft w:val="0"/>
      <w:marRight w:val="0"/>
      <w:marTop w:val="0"/>
      <w:marBottom w:val="0"/>
      <w:divBdr>
        <w:top w:val="none" w:sz="0" w:space="0" w:color="auto"/>
        <w:left w:val="none" w:sz="0" w:space="0" w:color="auto"/>
        <w:bottom w:val="none" w:sz="0" w:space="0" w:color="auto"/>
        <w:right w:val="none" w:sz="0" w:space="0" w:color="auto"/>
      </w:divBdr>
    </w:div>
    <w:div w:id="1937517607">
      <w:marLeft w:val="0"/>
      <w:marRight w:val="0"/>
      <w:marTop w:val="0"/>
      <w:marBottom w:val="0"/>
      <w:divBdr>
        <w:top w:val="none" w:sz="0" w:space="0" w:color="auto"/>
        <w:left w:val="none" w:sz="0" w:space="0" w:color="auto"/>
        <w:bottom w:val="none" w:sz="0" w:space="0" w:color="auto"/>
        <w:right w:val="none" w:sz="0" w:space="0" w:color="auto"/>
      </w:divBdr>
      <w:divsChild>
        <w:div w:id="1937517612">
          <w:marLeft w:val="0"/>
          <w:marRight w:val="0"/>
          <w:marTop w:val="0"/>
          <w:marBottom w:val="264"/>
          <w:divBdr>
            <w:top w:val="none" w:sz="0" w:space="0" w:color="auto"/>
            <w:left w:val="none" w:sz="0" w:space="0" w:color="auto"/>
            <w:bottom w:val="none" w:sz="0" w:space="0" w:color="auto"/>
            <w:right w:val="none" w:sz="0" w:space="0" w:color="auto"/>
          </w:divBdr>
        </w:div>
      </w:divsChild>
    </w:div>
    <w:div w:id="1937517608">
      <w:marLeft w:val="0"/>
      <w:marRight w:val="0"/>
      <w:marTop w:val="0"/>
      <w:marBottom w:val="0"/>
      <w:divBdr>
        <w:top w:val="none" w:sz="0" w:space="0" w:color="auto"/>
        <w:left w:val="none" w:sz="0" w:space="0" w:color="auto"/>
        <w:bottom w:val="none" w:sz="0" w:space="0" w:color="auto"/>
        <w:right w:val="none" w:sz="0" w:space="0" w:color="auto"/>
      </w:divBdr>
    </w:div>
    <w:div w:id="1937517609">
      <w:marLeft w:val="0"/>
      <w:marRight w:val="0"/>
      <w:marTop w:val="0"/>
      <w:marBottom w:val="0"/>
      <w:divBdr>
        <w:top w:val="none" w:sz="0" w:space="0" w:color="auto"/>
        <w:left w:val="none" w:sz="0" w:space="0" w:color="auto"/>
        <w:bottom w:val="none" w:sz="0" w:space="0" w:color="auto"/>
        <w:right w:val="none" w:sz="0" w:space="0" w:color="auto"/>
      </w:divBdr>
    </w:div>
    <w:div w:id="1937517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s-local-stream://EpubReader_E186565CA8C3465DB2B33F06E710DF98/Content/OEBPS/Text/footnotes.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s-local-stream://EpubReader_E186565CA8C3465DB2B33F06E710DF98/Content/OEBPS/Text/footnotes.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s-local-stream://EpubReader_E186565CA8C3465DB2B33F06E710DF98/Content/OEBPS/Text/footnotes.xhtml" TargetMode="External"/><Relationship Id="rId4" Type="http://schemas.openxmlformats.org/officeDocument/2006/relationships/webSettings" Target="webSettings.xml"/><Relationship Id="rId9" Type="http://schemas.openxmlformats.org/officeDocument/2006/relationships/hyperlink" Target="ms-local-stream://EpubReader_E186565CA8C3465DB2B33F06E710DF98/Content/OEBPS/Text/footnotes.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1418</TotalTime>
  <Pages>8</Pages>
  <Words>2372</Words>
  <Characters>13521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V Taneva</dc:creator>
  <cp:keywords/>
  <dc:description/>
  <cp:lastModifiedBy>T</cp:lastModifiedBy>
  <cp:revision>157</cp:revision>
  <dcterms:created xsi:type="dcterms:W3CDTF">2017-12-12T15:37:00Z</dcterms:created>
  <dcterms:modified xsi:type="dcterms:W3CDTF">2017-12-28T15:05:00Z</dcterms:modified>
</cp:coreProperties>
</file>